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ind w:left="0" w:leftChars="0" w:right="0" w:rightChars="0" w:firstLine="0" w:firstLineChars="0"/>
        <w:jc w:val="center"/>
        <w:rPr>
          <w:rFonts w:hint="eastAsia" w:ascii="黑体" w:hAnsi="黑体" w:eastAsia="黑体" w:cs="黑体"/>
          <w:sz w:val="44"/>
          <w:szCs w:val="44"/>
        </w:rPr>
      </w:pPr>
      <w:bookmarkStart w:id="0" w:name="_GoBack"/>
      <w:r>
        <w:rPr>
          <w:rFonts w:hint="eastAsia" w:ascii="黑体" w:hAnsi="黑体" w:eastAsia="黑体" w:cs="黑体"/>
          <w:sz w:val="44"/>
          <w:szCs w:val="44"/>
        </w:rPr>
        <w:t>国务院关于加强固定资产投资项目</w:t>
      </w:r>
    </w:p>
    <w:p>
      <w:pPr>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资本金管理的通知</w:t>
      </w:r>
      <w:bookmarkEnd w:id="0"/>
      <w:r>
        <w:rPr>
          <w:rFonts w:hint="eastAsia" w:ascii="黑体" w:hAnsi="黑体" w:eastAsia="黑体" w:cs="黑体"/>
          <w:sz w:val="44"/>
          <w:szCs w:val="44"/>
        </w:rPr>
        <w:br w:type="textWrapping"/>
      </w:r>
    </w:p>
    <w:p>
      <w:pPr>
        <w:ind w:left="0" w:leftChars="0" w:right="0" w:rightChars="0" w:firstLine="0" w:firstLineChars="0"/>
        <w:jc w:val="center"/>
        <w:rPr>
          <w:rFonts w:hint="eastAsia" w:ascii="楷体" w:hAnsi="楷体" w:eastAsia="楷体" w:cs="楷体"/>
          <w:sz w:val="44"/>
          <w:szCs w:val="44"/>
        </w:rPr>
      </w:pPr>
      <w:r>
        <w:rPr>
          <w:rFonts w:hint="eastAsia" w:ascii="楷体" w:hAnsi="楷体" w:eastAsia="楷体" w:cs="楷体"/>
          <w:sz w:val="30"/>
          <w:szCs w:val="30"/>
        </w:rPr>
        <w:t>国发〔2019〕26号</w:t>
      </w: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对固定资产投资项目(以下简称投资项目)实行资本金制度，合理确定并适时调整资本金比例，是促进有效投资、防范风险的重要政策工具，是深化投融资体制改革、优化投资供给结构的重要手段。为更好发挥投资项目资本金制度的作用，做到有保有控、区别对待，促进有效投资和风险防范紧密结合、协同推进，现就加强投资项目资本金管理工作通知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一、进一步完善投资项目资本金制度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明确投资项目资本金制度的适用范围和性质。该制度适用于我国境内的企业投资项目和政府投资的经营性项目。投资项目资本金作为项目总投资中由投资者认缴的出资额，对投资项目来说必须是非债务性资金，项目法人不承担这部分资金的任何债务和利息；投资者可按其出资比例依法享有所有者权益，也可转让其出资，但不得以任何方式抽回。党中央、国务院另有规定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分类实施投资项目资本金核算管理。设立独立法人的投资项目，其所有者权益可以全部作为投资项目资本金。对未设立独立法人的投资项目，项目单位应设立专门账户，规范设置和使用会计科目，按照国家有关财务制度、会计制度对拨入的资金和投资项目的资产、负债进行独立核算，并据此核定投资项目资本金的额度和比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按照投资项目性质，规范确定资本金比例。适用资本金制度的投资项目，属于政府投资项目的，有关部门在审批可行性研究报告时要对投资项目资本金筹措方式和有关资金来源证明文件的合规性进行审查，并在批准文件中就投资项目资本金比例、筹措方式予以确认；属于企业投资项目的，提供融资服务的有关金融机构要加强对投资项目资本金来源、比例、到位情况的审查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二、适当调整基础设施项目最低资本金比例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(四)港口、沿海及内河航运项目，项目最低资本金比例由25%调整为20%。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机场项目最低资本金比例维持25%不变，其他基础设施项目维持20%不变。其中，公路(含政府收费公路)、铁路、城建、物流、生态环保、社会民生等领域的补短板基础设施项目，在投资回报机制明确、收益可靠、风险可控的前提下，可以适当降低项目最低资本金比例，但下调不得超过5个百分点。实行审批制的项目，审批部门可以明确项目单位按此规定合理确定的投资项目资本金比例。实行核准或备案制的项目，项目单位与金融机构可以按此规定自主调整投资项目资本金比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(六)法律、行政法规和国务院对有关投资项目资本金比例另有规定的，从其规定。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三、鼓励依法依规筹措重大投资项目资本金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(七)对基础设施领域和国家鼓励发展的行业，鼓励项目法人和项目投资方通过发行权益型、股权类金融工具，多渠道规范筹措投资项目资本金。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(八)通过发行金融工具等方式筹措的各类资金，按照国家统一的会计制度应当分类为权益工具的，可以认定为投资项目资本金，但不得超过资本金总额的50%。存在下列情形之一的，不得认定为投资项目资本金：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存在本息回购承诺、兜底保障等收益附加条件；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当期债务性资金偿还前，可以分红或取得收益；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在清算时受偿顺序优先于其他债务性资金。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(九)地方各级政府及其有关部门可统筹使用本级预算资金、上级补助资金等各类财政资金筹集项目资本金，可按有关规定将政府专项债券作为符合条件的重大项目资本金。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四、严格规范管理，加强风险防范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项目借贷资金和不符合国家规定的股东借款、“名股实债”等资金，不得作为投资项目资本金。筹措投资项目资本金，不得违规增加地方政府隐性债务，不得违反国家关于国有企业资产负债率相关要求。不得拖欠工程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一)金融机构在认定投资项目资本金时，应严格区分投资项目与项目投资方，依据不同的资金来源与投资项目的权责关系判定其权益或债务属性，对资本金的真实性、合规性和投资收益、贷款风险进行全面审查，并自主决定是否发放贷款以及贷款数量和比例。项目单位应当配合金融机构开展投资项目资本金审查工作，提供有关资本金真实性和资金来源的证明材料，并对证明材料的真实性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十二)自本通知印发之日起，凡尚未经有关部门审批可行性研究报告、核准项目申请报告、办理备案手续的投资项目，均按本通知执行。已经办理相关手续、尚未开工、金融机构尚未发放贷款的投资项目，可以按本通知调整资金筹措方案，并重新办理审批、核准或备案手续。已与金融机构签订相关贷款合同的投资项目，可按照原合同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dings">
    <w:panose1 w:val="05030102010509060703"/>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5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F41382083650</cp:lastModifiedBy>
  <dcterms:modified xsi:type="dcterms:W3CDTF">2019-11-28T02:51:30Z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