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0"/>
        <w:jc w:val="center"/>
        <w:rPr>
          <w:rFonts w:ascii="宋体" w:hAnsi="宋体" w:eastAsia="宋体" w:cs="宋体"/>
          <w:i w:val="0"/>
          <w:iCs w:val="0"/>
          <w:caps w:val="0"/>
          <w:color w:val="404040"/>
          <w:spacing w:val="0"/>
          <w:sz w:val="27"/>
          <w:szCs w:val="27"/>
        </w:rPr>
      </w:pPr>
      <w:bookmarkStart w:id="0" w:name="_GoBack"/>
      <w:r>
        <w:rPr>
          <w:rFonts w:hint="eastAsia" w:ascii="宋体" w:hAnsi="宋体" w:eastAsia="宋体" w:cs="宋体"/>
          <w:i w:val="0"/>
          <w:iCs w:val="0"/>
          <w:caps w:val="0"/>
          <w:color w:val="404040"/>
          <w:spacing w:val="0"/>
          <w:kern w:val="0"/>
          <w:sz w:val="36"/>
          <w:szCs w:val="36"/>
          <w:bdr w:val="none" w:color="auto" w:sz="0" w:space="0"/>
          <w:shd w:val="clear" w:fill="FAFAFA"/>
          <w:lang w:val="en-US" w:eastAsia="zh-CN" w:bidi="ar"/>
        </w:rPr>
        <w:t>湖北省政府性融资担保机构融资担保代偿损失核销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0"/>
        <w:jc w:val="center"/>
        <w:rPr>
          <w:rFonts w:hint="eastAsia" w:ascii="宋体" w:hAnsi="宋体" w:eastAsia="宋体" w:cs="宋体"/>
          <w:i w:val="0"/>
          <w:iCs w:val="0"/>
          <w:caps w:val="0"/>
          <w:color w:val="404040"/>
          <w:spacing w:val="0"/>
          <w:sz w:val="27"/>
          <w:szCs w:val="27"/>
        </w:rPr>
      </w:pPr>
      <w:r>
        <w:rPr>
          <w:rFonts w:hint="eastAsia" w:ascii="宋体" w:hAnsi="宋体" w:eastAsia="宋体" w:cs="宋体"/>
          <w:i w:val="0"/>
          <w:iCs w:val="0"/>
          <w:caps w:val="0"/>
          <w:color w:val="404040"/>
          <w:spacing w:val="0"/>
          <w:kern w:val="0"/>
          <w:sz w:val="36"/>
          <w:szCs w:val="36"/>
          <w:bdr w:val="none" w:color="auto" w:sz="0" w:space="0"/>
          <w:shd w:val="clear" w:fill="FAFAFA"/>
          <w:lang w:val="en-US" w:eastAsia="zh-CN" w:bidi="ar"/>
        </w:rPr>
        <w:t>工作指引（试行）</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156" w:beforeAutospacing="0" w:after="312" w:afterAutospacing="0" w:line="580" w:lineRule="atLeast"/>
        <w:ind w:left="0" w:right="0" w:firstLine="0"/>
        <w:jc w:val="center"/>
        <w:rPr>
          <w:rFonts w:hint="eastAsia" w:ascii="宋体" w:hAnsi="宋体" w:eastAsia="宋体" w:cs="宋体"/>
          <w:i w:val="0"/>
          <w:iCs w:val="0"/>
          <w:caps w:val="0"/>
          <w:color w:val="404040"/>
          <w:spacing w:val="0"/>
          <w:sz w:val="27"/>
          <w:szCs w:val="27"/>
        </w:rPr>
      </w:pPr>
      <w:r>
        <w:rPr>
          <w:rFonts w:ascii="黑体" w:hAnsi="宋体" w:eastAsia="黑体" w:cs="黑体"/>
          <w:i w:val="0"/>
          <w:iCs w:val="0"/>
          <w:caps w:val="0"/>
          <w:color w:val="404040"/>
          <w:spacing w:val="6"/>
          <w:kern w:val="0"/>
          <w:sz w:val="32"/>
          <w:szCs w:val="32"/>
          <w:bdr w:val="none" w:color="auto" w:sz="0" w:space="0"/>
          <w:shd w:val="clear" w:fill="FAFAFA"/>
          <w:lang w:val="en-US" w:eastAsia="zh-CN" w:bidi="ar"/>
        </w:rPr>
        <w:t>第一章</w:t>
      </w:r>
      <w:r>
        <w:rPr>
          <w:rFonts w:hint="eastAsia" w:ascii="黑体" w:hAnsi="宋体" w:eastAsia="黑体" w:cs="黑体"/>
          <w:i w:val="0"/>
          <w:iCs w:val="0"/>
          <w:caps w:val="0"/>
          <w:color w:val="404040"/>
          <w:spacing w:val="6"/>
          <w:kern w:val="0"/>
          <w:sz w:val="32"/>
          <w:szCs w:val="32"/>
          <w:bdr w:val="none" w:color="auto" w:sz="0" w:space="0"/>
          <w:shd w:val="clear" w:fill="FAFAFA"/>
          <w:lang w:val="en-US" w:eastAsia="zh-CN" w:bidi="ar"/>
        </w:rPr>
        <w:t>  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64"/>
        <w:jc w:val="left"/>
        <w:rPr>
          <w:rFonts w:hint="eastAsia" w:ascii="宋体" w:hAnsi="宋体" w:eastAsia="宋体" w:cs="宋体"/>
          <w:i w:val="0"/>
          <w:iCs w:val="0"/>
          <w:caps w:val="0"/>
          <w:color w:val="404040"/>
          <w:spacing w:val="0"/>
          <w:sz w:val="27"/>
          <w:szCs w:val="27"/>
        </w:rPr>
      </w:pPr>
      <w:r>
        <w:rPr>
          <w:rFonts w:ascii="楷体" w:hAnsi="楷体" w:eastAsia="楷体" w:cs="楷体"/>
          <w:i w:val="0"/>
          <w:iCs w:val="0"/>
          <w:caps w:val="0"/>
          <w:color w:val="404040"/>
          <w:spacing w:val="6"/>
          <w:kern w:val="0"/>
          <w:sz w:val="32"/>
          <w:szCs w:val="32"/>
          <w:bdr w:val="none" w:color="auto" w:sz="0" w:space="0"/>
          <w:shd w:val="clear" w:fill="FAFAFA"/>
          <w:lang w:val="en-US" w:eastAsia="zh-CN" w:bidi="ar"/>
        </w:rPr>
        <w:t>第一条</w:t>
      </w:r>
      <w:r>
        <w:rPr>
          <w:rFonts w:hint="eastAsia" w:ascii="楷体" w:hAnsi="楷体" w:eastAsia="楷体" w:cs="楷体"/>
          <w:i w:val="0"/>
          <w:iCs w:val="0"/>
          <w:caps w:val="0"/>
          <w:color w:val="404040"/>
          <w:spacing w:val="6"/>
          <w:kern w:val="0"/>
          <w:sz w:val="32"/>
          <w:szCs w:val="32"/>
          <w:bdr w:val="none" w:color="auto" w:sz="0" w:space="0"/>
          <w:shd w:val="clear" w:fill="FAFAFA"/>
          <w:lang w:val="en-US" w:eastAsia="zh-CN" w:bidi="ar"/>
        </w:rPr>
        <w:t> </w:t>
      </w:r>
      <w:r>
        <w:rPr>
          <w:rFonts w:ascii="仿宋_GB2312" w:hAnsi="宋体" w:eastAsia="仿宋_GB2312" w:cs="仿宋_GB2312"/>
          <w:i w:val="0"/>
          <w:iCs w:val="0"/>
          <w:caps w:val="0"/>
          <w:color w:val="404040"/>
          <w:spacing w:val="6"/>
          <w:kern w:val="0"/>
          <w:sz w:val="32"/>
          <w:szCs w:val="32"/>
          <w:bdr w:val="none" w:color="auto" w:sz="0" w:space="0"/>
          <w:shd w:val="clear" w:fill="FAFAFA"/>
          <w:lang w:val="en-US" w:eastAsia="zh-CN" w:bidi="ar"/>
        </w:rPr>
        <w:t>为</w:t>
      </w:r>
      <w:r>
        <w:rPr>
          <w:rFonts w:ascii="仿宋" w:hAnsi="仿宋" w:eastAsia="仿宋" w:cs="仿宋"/>
          <w:i w:val="0"/>
          <w:iCs w:val="0"/>
          <w:caps w:val="0"/>
          <w:color w:val="404040"/>
          <w:spacing w:val="6"/>
          <w:kern w:val="0"/>
          <w:sz w:val="32"/>
          <w:szCs w:val="32"/>
          <w:bdr w:val="none" w:color="auto" w:sz="0" w:space="0"/>
          <w:shd w:val="clear" w:fill="FAFAFA"/>
          <w:lang w:val="en-US" w:eastAsia="zh-CN" w:bidi="ar"/>
        </w:rPr>
        <w:t>引导全省各级政府性融资担保机构规范代偿损失核销管理，依法出清代偿损失风险，增强政府性融资担保机构风险防控能力，根据《金融企业财务规则》（财政部令第</w:t>
      </w:r>
      <w:r>
        <w:rPr>
          <w:rFonts w:hint="eastAsia" w:ascii="仿宋" w:hAnsi="仿宋" w:eastAsia="仿宋" w:cs="仿宋"/>
          <w:i w:val="0"/>
          <w:iCs w:val="0"/>
          <w:caps w:val="0"/>
          <w:color w:val="404040"/>
          <w:spacing w:val="6"/>
          <w:kern w:val="0"/>
          <w:sz w:val="32"/>
          <w:szCs w:val="32"/>
          <w:bdr w:val="none" w:color="auto" w:sz="0" w:space="0"/>
          <w:shd w:val="clear" w:fill="FAFAFA"/>
          <w:lang w:val="en-US" w:eastAsia="zh-CN" w:bidi="ar"/>
        </w:rPr>
        <w:t>42号）、《金融企业呆账核销管理办法（2017年版）》（财金〔2017〕90号）等有关规定，制定《湖北省政府性融资担保机构担保代偿损失核销工作指引（试行）》（以下简称“本工作指引”）。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64"/>
        <w:jc w:val="left"/>
        <w:rPr>
          <w:rFonts w:hint="eastAsia" w:ascii="宋体" w:hAnsi="宋体" w:eastAsia="宋体" w:cs="宋体"/>
          <w:i w:val="0"/>
          <w:iCs w:val="0"/>
          <w:caps w:val="0"/>
          <w:color w:val="404040"/>
          <w:spacing w:val="0"/>
          <w:sz w:val="27"/>
          <w:szCs w:val="27"/>
        </w:rPr>
      </w:pPr>
      <w:r>
        <w:rPr>
          <w:rFonts w:hint="eastAsia" w:ascii="楷体" w:hAnsi="楷体" w:eastAsia="楷体" w:cs="楷体"/>
          <w:i w:val="0"/>
          <w:iCs w:val="0"/>
          <w:caps w:val="0"/>
          <w:color w:val="404040"/>
          <w:spacing w:val="6"/>
          <w:kern w:val="0"/>
          <w:sz w:val="32"/>
          <w:szCs w:val="32"/>
          <w:bdr w:val="none" w:color="auto" w:sz="0" w:space="0"/>
          <w:shd w:val="clear" w:fill="FAFAFA"/>
          <w:lang w:val="en-US" w:eastAsia="zh-CN" w:bidi="ar"/>
        </w:rPr>
        <w:t>第二条 </w:t>
      </w:r>
      <w:r>
        <w:rPr>
          <w:rFonts w:hint="eastAsia" w:ascii="仿宋" w:hAnsi="仿宋" w:eastAsia="仿宋" w:cs="仿宋"/>
          <w:i w:val="0"/>
          <w:iCs w:val="0"/>
          <w:caps w:val="0"/>
          <w:color w:val="404040"/>
          <w:spacing w:val="6"/>
          <w:kern w:val="0"/>
          <w:sz w:val="32"/>
          <w:szCs w:val="32"/>
          <w:bdr w:val="none" w:color="auto" w:sz="0" w:space="0"/>
          <w:shd w:val="clear" w:fill="FAFAFA"/>
          <w:lang w:val="en-US" w:eastAsia="zh-CN" w:bidi="ar"/>
        </w:rPr>
        <w:t>在湖北省境内依法设立，已经纳入湖北省政府性融资担保机构名单管理的融资（再）担保机构（以下简称“融资（再）担保机构”），适用本工作指引。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64"/>
        <w:jc w:val="left"/>
        <w:rPr>
          <w:rFonts w:hint="eastAsia" w:ascii="宋体" w:hAnsi="宋体" w:eastAsia="宋体" w:cs="宋体"/>
          <w:i w:val="0"/>
          <w:iCs w:val="0"/>
          <w:caps w:val="0"/>
          <w:color w:val="404040"/>
          <w:spacing w:val="0"/>
          <w:sz w:val="27"/>
          <w:szCs w:val="27"/>
        </w:rPr>
      </w:pPr>
      <w:r>
        <w:rPr>
          <w:rFonts w:hint="eastAsia" w:ascii="仿宋" w:hAnsi="仿宋" w:eastAsia="仿宋" w:cs="仿宋"/>
          <w:i w:val="0"/>
          <w:iCs w:val="0"/>
          <w:caps w:val="0"/>
          <w:color w:val="404040"/>
          <w:spacing w:val="6"/>
          <w:kern w:val="0"/>
          <w:sz w:val="32"/>
          <w:szCs w:val="32"/>
          <w:bdr w:val="none" w:color="auto" w:sz="0" w:space="0"/>
          <w:shd w:val="clear" w:fill="FAFAFA"/>
          <w:lang w:val="en-US" w:eastAsia="zh-CN" w:bidi="ar"/>
        </w:rPr>
        <w:t>其他未纳入名单管理的融资担保机构可参照执行。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157" w:beforeAutospacing="0" w:after="157" w:afterAutospacing="0" w:line="580" w:lineRule="atLeast"/>
        <w:ind w:left="0" w:right="0" w:firstLine="0"/>
        <w:jc w:val="center"/>
        <w:rPr>
          <w:rFonts w:hint="eastAsia" w:ascii="宋体" w:hAnsi="宋体" w:eastAsia="宋体" w:cs="宋体"/>
          <w:i w:val="0"/>
          <w:iCs w:val="0"/>
          <w:caps w:val="0"/>
          <w:color w:val="404040"/>
          <w:spacing w:val="0"/>
          <w:sz w:val="27"/>
          <w:szCs w:val="27"/>
        </w:rPr>
      </w:pPr>
      <w:r>
        <w:rPr>
          <w:rFonts w:hint="eastAsia" w:ascii="黑体" w:hAnsi="宋体" w:eastAsia="黑体" w:cs="黑体"/>
          <w:i w:val="0"/>
          <w:iCs w:val="0"/>
          <w:caps w:val="0"/>
          <w:color w:val="404040"/>
          <w:spacing w:val="6"/>
          <w:kern w:val="0"/>
          <w:sz w:val="32"/>
          <w:szCs w:val="32"/>
          <w:bdr w:val="none" w:color="auto" w:sz="0" w:space="0"/>
          <w:shd w:val="clear" w:fill="FAFAFA"/>
          <w:lang w:val="en-US" w:eastAsia="zh-CN" w:bidi="ar"/>
        </w:rPr>
        <w:t>第二章  明确职责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64"/>
        <w:jc w:val="left"/>
        <w:rPr>
          <w:rFonts w:hint="eastAsia" w:ascii="宋体" w:hAnsi="宋体" w:eastAsia="宋体" w:cs="宋体"/>
          <w:i w:val="0"/>
          <w:iCs w:val="0"/>
          <w:caps w:val="0"/>
          <w:color w:val="404040"/>
          <w:spacing w:val="0"/>
          <w:sz w:val="27"/>
          <w:szCs w:val="27"/>
        </w:rPr>
      </w:pPr>
      <w:r>
        <w:rPr>
          <w:rFonts w:hint="eastAsia" w:ascii="楷体" w:hAnsi="楷体" w:eastAsia="楷体" w:cs="楷体"/>
          <w:i w:val="0"/>
          <w:iCs w:val="0"/>
          <w:caps w:val="0"/>
          <w:color w:val="404040"/>
          <w:spacing w:val="6"/>
          <w:kern w:val="0"/>
          <w:sz w:val="32"/>
          <w:szCs w:val="32"/>
          <w:bdr w:val="none" w:color="auto" w:sz="0" w:space="0"/>
          <w:shd w:val="clear" w:fill="FAFAFA"/>
          <w:lang w:val="en-US" w:eastAsia="zh-CN" w:bidi="ar"/>
        </w:rPr>
        <w:t>第三条 </w:t>
      </w:r>
      <w:r>
        <w:rPr>
          <w:rFonts w:hint="eastAsia" w:ascii="仿宋_GB2312" w:hAnsi="宋体" w:eastAsia="仿宋_GB2312" w:cs="仿宋_GB2312"/>
          <w:i w:val="0"/>
          <w:iCs w:val="0"/>
          <w:caps w:val="0"/>
          <w:color w:val="404040"/>
          <w:spacing w:val="6"/>
          <w:kern w:val="0"/>
          <w:sz w:val="32"/>
          <w:szCs w:val="32"/>
          <w:bdr w:val="none" w:color="auto" w:sz="0" w:space="0"/>
          <w:shd w:val="clear" w:fill="FAFAFA"/>
          <w:lang w:val="en-US" w:eastAsia="zh-CN" w:bidi="ar"/>
        </w:rPr>
        <w:t>各级融资（再）担保机构是担保代偿损失核销的责任主体，要不断</w:t>
      </w:r>
      <w:r>
        <w:rPr>
          <w:rFonts w:hint="eastAsia" w:ascii="仿宋" w:hAnsi="仿宋" w:eastAsia="仿宋" w:cs="仿宋"/>
          <w:i w:val="0"/>
          <w:iCs w:val="0"/>
          <w:caps w:val="0"/>
          <w:color w:val="404040"/>
          <w:spacing w:val="6"/>
          <w:kern w:val="0"/>
          <w:sz w:val="32"/>
          <w:szCs w:val="32"/>
          <w:bdr w:val="none" w:color="auto" w:sz="0" w:space="0"/>
          <w:shd w:val="clear" w:fill="FAFAFA"/>
          <w:lang w:val="en-US" w:eastAsia="zh-CN" w:bidi="ar"/>
        </w:rPr>
        <w:t>健全担保业务代偿核销管理制度，规范审核程序，完善监督机制，强化追责问责，有效防范各类风险。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64"/>
        <w:jc w:val="left"/>
        <w:rPr>
          <w:rFonts w:hint="eastAsia" w:ascii="宋体" w:hAnsi="宋体" w:eastAsia="宋体" w:cs="宋体"/>
          <w:i w:val="0"/>
          <w:iCs w:val="0"/>
          <w:caps w:val="0"/>
          <w:color w:val="404040"/>
          <w:spacing w:val="0"/>
          <w:sz w:val="27"/>
          <w:szCs w:val="27"/>
        </w:rPr>
      </w:pPr>
      <w:r>
        <w:rPr>
          <w:rFonts w:hint="eastAsia" w:ascii="楷体" w:hAnsi="楷体" w:eastAsia="楷体" w:cs="楷体"/>
          <w:i w:val="0"/>
          <w:iCs w:val="0"/>
          <w:caps w:val="0"/>
          <w:color w:val="404040"/>
          <w:spacing w:val="6"/>
          <w:sz w:val="32"/>
          <w:szCs w:val="32"/>
          <w:bdr w:val="none" w:color="auto" w:sz="0" w:space="0"/>
          <w:shd w:val="clear" w:fill="FAFAFA"/>
        </w:rPr>
        <w:t>第四条 </w:t>
      </w:r>
      <w:r>
        <w:rPr>
          <w:rFonts w:hint="eastAsia" w:ascii="仿宋" w:hAnsi="仿宋" w:eastAsia="仿宋" w:cs="仿宋"/>
          <w:i w:val="0"/>
          <w:iCs w:val="0"/>
          <w:caps w:val="0"/>
          <w:color w:val="404040"/>
          <w:spacing w:val="6"/>
          <w:sz w:val="32"/>
          <w:szCs w:val="32"/>
          <w:bdr w:val="none" w:color="auto" w:sz="0" w:space="0"/>
          <w:shd w:val="clear" w:fill="FAFAFA"/>
        </w:rPr>
        <w:t>各级财政部门是担保代偿损失核销业务主管部门，对担保代偿损失核销工作履行财务监管职责，对融资（再）担保机构制定的担保业务代偿核销管理制度、核销工作流程以及相关会计处理等事项的合法性、合规性以及时效性等进行有效指导和专项检查，并督促融资（再）担保机构落实相关会计制度，规范财务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64"/>
        <w:jc w:val="left"/>
        <w:rPr>
          <w:rFonts w:hint="eastAsia" w:ascii="宋体" w:hAnsi="宋体" w:eastAsia="宋体" w:cs="宋体"/>
          <w:i w:val="0"/>
          <w:iCs w:val="0"/>
          <w:caps w:val="0"/>
          <w:color w:val="404040"/>
          <w:spacing w:val="0"/>
          <w:sz w:val="27"/>
          <w:szCs w:val="27"/>
        </w:rPr>
      </w:pPr>
      <w:r>
        <w:rPr>
          <w:rFonts w:hint="eastAsia" w:ascii="楷体" w:hAnsi="楷体" w:eastAsia="楷体" w:cs="楷体"/>
          <w:i w:val="0"/>
          <w:iCs w:val="0"/>
          <w:caps w:val="0"/>
          <w:color w:val="404040"/>
          <w:spacing w:val="6"/>
          <w:sz w:val="32"/>
          <w:szCs w:val="32"/>
          <w:bdr w:val="none" w:color="auto" w:sz="0" w:space="0"/>
          <w:shd w:val="clear" w:fill="FAFAFA"/>
        </w:rPr>
        <w:t>第五条 </w:t>
      </w:r>
      <w:r>
        <w:rPr>
          <w:rFonts w:hint="eastAsia" w:ascii="仿宋" w:hAnsi="仿宋" w:eastAsia="仿宋" w:cs="仿宋"/>
          <w:i w:val="0"/>
          <w:iCs w:val="0"/>
          <w:caps w:val="0"/>
          <w:color w:val="404040"/>
          <w:spacing w:val="6"/>
          <w:sz w:val="32"/>
          <w:szCs w:val="32"/>
          <w:bdr w:val="none" w:color="auto" w:sz="0" w:space="0"/>
          <w:shd w:val="clear" w:fill="FAFAFA"/>
        </w:rPr>
        <w:t>各级地方金融监管部门是融资担保业务监管部门，通过现场检查、双随机一公开抽查、非现场监管等，加强对融资担保代偿损失核销工作的监管。对于代偿损失核销违反法律、法规规定的，按照相关法律法规给予处罚；涉嫌构成犯罪的，移交司法机关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64"/>
        <w:jc w:val="left"/>
        <w:rPr>
          <w:rFonts w:hint="eastAsia" w:ascii="宋体" w:hAnsi="宋体" w:eastAsia="宋体" w:cs="宋体"/>
          <w:i w:val="0"/>
          <w:iCs w:val="0"/>
          <w:caps w:val="0"/>
          <w:color w:val="404040"/>
          <w:spacing w:val="0"/>
          <w:sz w:val="27"/>
          <w:szCs w:val="27"/>
        </w:rPr>
      </w:pPr>
      <w:r>
        <w:rPr>
          <w:rFonts w:hint="eastAsia" w:ascii="楷体" w:hAnsi="楷体" w:eastAsia="楷体" w:cs="楷体"/>
          <w:i w:val="0"/>
          <w:iCs w:val="0"/>
          <w:caps w:val="0"/>
          <w:color w:val="404040"/>
          <w:spacing w:val="6"/>
          <w:kern w:val="0"/>
          <w:sz w:val="32"/>
          <w:szCs w:val="32"/>
          <w:bdr w:val="none" w:color="auto" w:sz="0" w:space="0"/>
          <w:shd w:val="clear" w:fill="FAFAFA"/>
          <w:lang w:val="en-US" w:eastAsia="zh-CN" w:bidi="ar"/>
        </w:rPr>
        <w:t>第六条 </w:t>
      </w:r>
      <w:r>
        <w:rPr>
          <w:rFonts w:hint="eastAsia" w:ascii="仿宋" w:hAnsi="仿宋" w:eastAsia="仿宋" w:cs="仿宋"/>
          <w:i w:val="0"/>
          <w:iCs w:val="0"/>
          <w:caps w:val="0"/>
          <w:color w:val="404040"/>
          <w:spacing w:val="6"/>
          <w:kern w:val="0"/>
          <w:sz w:val="32"/>
          <w:szCs w:val="32"/>
          <w:bdr w:val="none" w:color="auto" w:sz="0" w:space="0"/>
          <w:shd w:val="clear" w:fill="FAFAFA"/>
          <w:lang w:val="en-US" w:eastAsia="zh-CN" w:bidi="ar"/>
        </w:rPr>
        <w:t>各级融资（再）担保机构出资人管理部门（机构）应督促所属融资（再）担保机构根据本代偿核销工作指引制定具体实施办法，向本级财政部门和行业监管部门完成备案程序后执行。对担保代偿损失核销工作中涉及的公司内部审批流程等事项的合法性、规范性，履行</w:t>
      </w:r>
      <w:r>
        <w:rPr>
          <w:rFonts w:hint="eastAsia" w:ascii="仿宋_GB2312" w:hAnsi="宋体" w:eastAsia="仿宋_GB2312" w:cs="仿宋_GB2312"/>
          <w:i w:val="0"/>
          <w:iCs w:val="0"/>
          <w:caps w:val="0"/>
          <w:color w:val="404040"/>
          <w:spacing w:val="0"/>
          <w:kern w:val="0"/>
          <w:sz w:val="32"/>
          <w:szCs w:val="32"/>
          <w:bdr w:val="none" w:color="auto" w:sz="0" w:space="0"/>
          <w:shd w:val="clear" w:fill="FAFAFA"/>
          <w:lang w:val="en-US" w:eastAsia="zh-CN" w:bidi="ar"/>
        </w:rPr>
        <w:t>出资人</w:t>
      </w:r>
      <w:r>
        <w:rPr>
          <w:rFonts w:hint="eastAsia" w:ascii="仿宋" w:hAnsi="仿宋" w:eastAsia="仿宋" w:cs="仿宋"/>
          <w:i w:val="0"/>
          <w:iCs w:val="0"/>
          <w:caps w:val="0"/>
          <w:color w:val="404040"/>
          <w:spacing w:val="6"/>
          <w:kern w:val="0"/>
          <w:sz w:val="32"/>
          <w:szCs w:val="32"/>
          <w:bdr w:val="none" w:color="auto" w:sz="0" w:space="0"/>
          <w:shd w:val="clear" w:fill="FAFAFA"/>
          <w:lang w:val="en-US" w:eastAsia="zh-CN" w:bidi="ar"/>
        </w:rPr>
        <w:t>重大事项审批职责。要严格落实融资（再）担保机构行业监管部门资产比例合规要求，配合财政部门建立健全担保代偿损失核销后的资本金补充、代偿补偿等制度，确保担保代偿损失核销后符合行业监管要求。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64"/>
        <w:jc w:val="left"/>
        <w:rPr>
          <w:rFonts w:hint="eastAsia" w:ascii="宋体" w:hAnsi="宋体" w:eastAsia="宋体" w:cs="宋体"/>
          <w:i w:val="0"/>
          <w:iCs w:val="0"/>
          <w:caps w:val="0"/>
          <w:color w:val="404040"/>
          <w:spacing w:val="0"/>
          <w:sz w:val="27"/>
          <w:szCs w:val="27"/>
        </w:rPr>
      </w:pPr>
      <w:r>
        <w:rPr>
          <w:rFonts w:hint="eastAsia" w:ascii="楷体" w:hAnsi="楷体" w:eastAsia="楷体" w:cs="楷体"/>
          <w:i w:val="0"/>
          <w:iCs w:val="0"/>
          <w:caps w:val="0"/>
          <w:color w:val="404040"/>
          <w:spacing w:val="6"/>
          <w:kern w:val="0"/>
          <w:sz w:val="32"/>
          <w:szCs w:val="32"/>
          <w:bdr w:val="none" w:color="auto" w:sz="0" w:space="0"/>
          <w:shd w:val="clear" w:fill="FAFAFA"/>
          <w:lang w:val="en-US" w:eastAsia="zh-CN" w:bidi="ar"/>
        </w:rPr>
        <w:t>第七条 </w:t>
      </w:r>
      <w:r>
        <w:rPr>
          <w:rFonts w:hint="eastAsia" w:ascii="仿宋" w:hAnsi="仿宋" w:eastAsia="仿宋" w:cs="仿宋"/>
          <w:i w:val="0"/>
          <w:iCs w:val="0"/>
          <w:caps w:val="0"/>
          <w:color w:val="404040"/>
          <w:spacing w:val="6"/>
          <w:kern w:val="0"/>
          <w:sz w:val="32"/>
          <w:szCs w:val="32"/>
          <w:bdr w:val="none" w:color="auto" w:sz="0" w:space="0"/>
          <w:shd w:val="clear" w:fill="FAFAFA"/>
          <w:lang w:val="en-US" w:eastAsia="zh-CN" w:bidi="ar"/>
        </w:rPr>
        <w:t>融资（再）担保机构由财政部门履行出资人职责的，财政部门内部应厘清财务监管和出资人管理部门（机构）职责边界，明确各自职责和任务。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0"/>
        <w:jc w:val="center"/>
        <w:rPr>
          <w:rFonts w:hint="eastAsia" w:ascii="宋体" w:hAnsi="宋体" w:eastAsia="宋体" w:cs="宋体"/>
          <w:i w:val="0"/>
          <w:iCs w:val="0"/>
          <w:caps w:val="0"/>
          <w:color w:val="404040"/>
          <w:spacing w:val="0"/>
          <w:sz w:val="27"/>
          <w:szCs w:val="27"/>
        </w:rPr>
      </w:pPr>
      <w:r>
        <w:rPr>
          <w:rFonts w:hint="eastAsia" w:ascii="黑体" w:hAnsi="宋体" w:eastAsia="黑体" w:cs="黑体"/>
          <w:i w:val="0"/>
          <w:iCs w:val="0"/>
          <w:caps w:val="0"/>
          <w:color w:val="404040"/>
          <w:spacing w:val="6"/>
          <w:kern w:val="0"/>
          <w:sz w:val="32"/>
          <w:szCs w:val="32"/>
          <w:bdr w:val="none" w:color="auto" w:sz="0" w:space="0"/>
          <w:shd w:val="clear" w:fill="FAFAFA"/>
          <w:lang w:val="en-US" w:eastAsia="zh-CN" w:bidi="ar"/>
        </w:rPr>
        <w:t> 工作流程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64"/>
        <w:jc w:val="left"/>
        <w:rPr>
          <w:rFonts w:hint="eastAsia" w:ascii="宋体" w:hAnsi="宋体" w:eastAsia="宋体" w:cs="宋体"/>
          <w:i w:val="0"/>
          <w:iCs w:val="0"/>
          <w:caps w:val="0"/>
          <w:color w:val="404040"/>
          <w:spacing w:val="0"/>
          <w:sz w:val="27"/>
          <w:szCs w:val="27"/>
        </w:rPr>
      </w:pPr>
      <w:r>
        <w:rPr>
          <w:rFonts w:hint="eastAsia" w:ascii="楷体" w:hAnsi="楷体" w:eastAsia="楷体" w:cs="楷体"/>
          <w:i w:val="0"/>
          <w:iCs w:val="0"/>
          <w:caps w:val="0"/>
          <w:color w:val="404040"/>
          <w:spacing w:val="6"/>
          <w:kern w:val="0"/>
          <w:sz w:val="32"/>
          <w:szCs w:val="32"/>
          <w:bdr w:val="none" w:color="auto" w:sz="0" w:space="0"/>
          <w:shd w:val="clear" w:fill="FAFAFA"/>
          <w:lang w:val="en-US" w:eastAsia="zh-CN" w:bidi="ar"/>
        </w:rPr>
        <w:t>第八条 </w:t>
      </w:r>
      <w:r>
        <w:rPr>
          <w:rFonts w:hint="eastAsia" w:ascii="仿宋_GB2312" w:hAnsi="宋体" w:eastAsia="仿宋_GB2312" w:cs="仿宋_GB2312"/>
          <w:i w:val="0"/>
          <w:iCs w:val="0"/>
          <w:caps w:val="0"/>
          <w:color w:val="404040"/>
          <w:spacing w:val="6"/>
          <w:kern w:val="0"/>
          <w:sz w:val="32"/>
          <w:szCs w:val="32"/>
          <w:bdr w:val="none" w:color="auto" w:sz="0" w:space="0"/>
          <w:shd w:val="clear" w:fill="FAFAFA"/>
          <w:lang w:val="en-US" w:eastAsia="zh-CN" w:bidi="ar"/>
        </w:rPr>
        <w:t>各级融资（再）担保机构开展担保代偿损失核销应当遵循“制度健全，流程规范，认定合法，证据有效，账销案存，权在力催，严</w:t>
      </w:r>
      <w:r>
        <w:rPr>
          <w:rFonts w:hint="eastAsia" w:ascii="仿宋" w:hAnsi="仿宋" w:eastAsia="仿宋" w:cs="仿宋"/>
          <w:i w:val="0"/>
          <w:iCs w:val="0"/>
          <w:caps w:val="0"/>
          <w:color w:val="404040"/>
          <w:spacing w:val="6"/>
          <w:kern w:val="0"/>
          <w:sz w:val="32"/>
          <w:szCs w:val="32"/>
          <w:bdr w:val="none" w:color="auto" w:sz="0" w:space="0"/>
          <w:shd w:val="clear" w:fill="FAFAFA"/>
          <w:lang w:val="en-US" w:eastAsia="zh-CN" w:bidi="ar"/>
        </w:rPr>
        <w:t>格保密”的基本原则。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64"/>
        <w:jc w:val="left"/>
        <w:rPr>
          <w:rFonts w:hint="eastAsia" w:ascii="宋体" w:hAnsi="宋体" w:eastAsia="宋体" w:cs="宋体"/>
          <w:i w:val="0"/>
          <w:iCs w:val="0"/>
          <w:caps w:val="0"/>
          <w:color w:val="404040"/>
          <w:spacing w:val="0"/>
          <w:sz w:val="27"/>
          <w:szCs w:val="27"/>
        </w:rPr>
      </w:pPr>
      <w:r>
        <w:rPr>
          <w:rFonts w:hint="eastAsia" w:ascii="楷体" w:hAnsi="楷体" w:eastAsia="楷体" w:cs="楷体"/>
          <w:i w:val="0"/>
          <w:iCs w:val="0"/>
          <w:caps w:val="0"/>
          <w:color w:val="404040"/>
          <w:spacing w:val="6"/>
          <w:kern w:val="0"/>
          <w:sz w:val="32"/>
          <w:szCs w:val="32"/>
          <w:bdr w:val="none" w:color="auto" w:sz="0" w:space="0"/>
          <w:shd w:val="clear" w:fill="FAFAFA"/>
          <w:lang w:val="en-US" w:eastAsia="zh-CN" w:bidi="ar"/>
        </w:rPr>
        <w:t>第九条 </w:t>
      </w:r>
      <w:r>
        <w:rPr>
          <w:rFonts w:hint="eastAsia" w:ascii="仿宋" w:hAnsi="仿宋" w:eastAsia="仿宋" w:cs="仿宋"/>
          <w:i w:val="0"/>
          <w:iCs w:val="0"/>
          <w:caps w:val="0"/>
          <w:color w:val="404040"/>
          <w:spacing w:val="6"/>
          <w:kern w:val="0"/>
          <w:sz w:val="32"/>
          <w:szCs w:val="32"/>
          <w:bdr w:val="none" w:color="auto" w:sz="0" w:space="0"/>
          <w:shd w:val="clear" w:fill="FAFAFA"/>
          <w:lang w:val="en-US" w:eastAsia="zh-CN" w:bidi="ar"/>
        </w:rPr>
        <w:t>各地财政部门应会同地方金融监管部门督促本地融资（再）担保机构建立健全担保代偿损失核销系列制度，包括不限于以下基本制度：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64"/>
        <w:jc w:val="left"/>
        <w:rPr>
          <w:rFonts w:hint="eastAsia" w:ascii="宋体" w:hAnsi="宋体" w:eastAsia="宋体" w:cs="宋体"/>
          <w:i w:val="0"/>
          <w:iCs w:val="0"/>
          <w:caps w:val="0"/>
          <w:color w:val="404040"/>
          <w:spacing w:val="0"/>
          <w:sz w:val="27"/>
          <w:szCs w:val="27"/>
        </w:rPr>
      </w:pPr>
      <w:r>
        <w:rPr>
          <w:rFonts w:hint="eastAsia" w:ascii="仿宋" w:hAnsi="仿宋" w:eastAsia="仿宋" w:cs="仿宋"/>
          <w:i w:val="0"/>
          <w:iCs w:val="0"/>
          <w:caps w:val="0"/>
          <w:color w:val="404040"/>
          <w:spacing w:val="6"/>
          <w:kern w:val="0"/>
          <w:sz w:val="32"/>
          <w:szCs w:val="32"/>
          <w:bdr w:val="none" w:color="auto" w:sz="0" w:space="0"/>
          <w:shd w:val="clear" w:fill="FAFAFA"/>
          <w:lang w:val="en-US" w:eastAsia="zh-CN" w:bidi="ar"/>
        </w:rPr>
        <w:t>（一）财务管理办法（包含代偿损失核销财务管理的内容）。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64"/>
        <w:jc w:val="left"/>
        <w:rPr>
          <w:rFonts w:hint="eastAsia" w:ascii="宋体" w:hAnsi="宋体" w:eastAsia="宋体" w:cs="宋体"/>
          <w:i w:val="0"/>
          <w:iCs w:val="0"/>
          <w:caps w:val="0"/>
          <w:color w:val="404040"/>
          <w:spacing w:val="0"/>
          <w:sz w:val="27"/>
          <w:szCs w:val="27"/>
        </w:rPr>
      </w:pPr>
      <w:r>
        <w:rPr>
          <w:rFonts w:hint="eastAsia" w:ascii="仿宋" w:hAnsi="仿宋" w:eastAsia="仿宋" w:cs="仿宋"/>
          <w:i w:val="0"/>
          <w:iCs w:val="0"/>
          <w:caps w:val="0"/>
          <w:color w:val="404040"/>
          <w:spacing w:val="6"/>
          <w:kern w:val="0"/>
          <w:sz w:val="32"/>
          <w:szCs w:val="32"/>
          <w:bdr w:val="none" w:color="auto" w:sz="0" w:space="0"/>
          <w:shd w:val="clear" w:fill="FAFAFA"/>
          <w:lang w:val="en-US" w:eastAsia="zh-CN" w:bidi="ar"/>
        </w:rPr>
        <w:t>（二）代偿损失核销管理办法。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64"/>
        <w:jc w:val="left"/>
        <w:rPr>
          <w:rFonts w:hint="eastAsia" w:ascii="宋体" w:hAnsi="宋体" w:eastAsia="宋体" w:cs="宋体"/>
          <w:i w:val="0"/>
          <w:iCs w:val="0"/>
          <w:caps w:val="0"/>
          <w:color w:val="404040"/>
          <w:spacing w:val="0"/>
          <w:sz w:val="27"/>
          <w:szCs w:val="27"/>
        </w:rPr>
      </w:pPr>
      <w:r>
        <w:rPr>
          <w:rFonts w:hint="eastAsia" w:ascii="仿宋" w:hAnsi="仿宋" w:eastAsia="仿宋" w:cs="仿宋"/>
          <w:i w:val="0"/>
          <w:iCs w:val="0"/>
          <w:caps w:val="0"/>
          <w:color w:val="404040"/>
          <w:spacing w:val="6"/>
          <w:kern w:val="0"/>
          <w:sz w:val="32"/>
          <w:szCs w:val="32"/>
          <w:bdr w:val="none" w:color="auto" w:sz="0" w:space="0"/>
          <w:shd w:val="clear" w:fill="FAFAFA"/>
          <w:lang w:val="en-US" w:eastAsia="zh-CN" w:bidi="ar"/>
        </w:rPr>
        <w:t>（三）代偿损失核销操作规程。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64"/>
        <w:jc w:val="left"/>
        <w:rPr>
          <w:rFonts w:hint="eastAsia" w:ascii="宋体" w:hAnsi="宋体" w:eastAsia="宋体" w:cs="宋体"/>
          <w:i w:val="0"/>
          <w:iCs w:val="0"/>
          <w:caps w:val="0"/>
          <w:color w:val="404040"/>
          <w:spacing w:val="0"/>
          <w:sz w:val="27"/>
          <w:szCs w:val="27"/>
        </w:rPr>
      </w:pPr>
      <w:r>
        <w:rPr>
          <w:rFonts w:hint="eastAsia" w:ascii="仿宋" w:hAnsi="仿宋" w:eastAsia="仿宋" w:cs="仿宋"/>
          <w:i w:val="0"/>
          <w:iCs w:val="0"/>
          <w:caps w:val="0"/>
          <w:color w:val="404040"/>
          <w:spacing w:val="6"/>
          <w:kern w:val="0"/>
          <w:sz w:val="32"/>
          <w:szCs w:val="32"/>
          <w:bdr w:val="none" w:color="auto" w:sz="0" w:space="0"/>
          <w:shd w:val="clear" w:fill="FAFAFA"/>
          <w:lang w:val="en-US" w:eastAsia="zh-CN" w:bidi="ar"/>
        </w:rPr>
        <w:t>（四）代偿损失认定实施细则。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64"/>
        <w:jc w:val="left"/>
        <w:rPr>
          <w:rFonts w:hint="eastAsia" w:ascii="宋体" w:hAnsi="宋体" w:eastAsia="宋体" w:cs="宋体"/>
          <w:i w:val="0"/>
          <w:iCs w:val="0"/>
          <w:caps w:val="0"/>
          <w:color w:val="404040"/>
          <w:spacing w:val="0"/>
          <w:sz w:val="27"/>
          <w:szCs w:val="27"/>
        </w:rPr>
      </w:pPr>
      <w:r>
        <w:rPr>
          <w:rFonts w:hint="eastAsia" w:ascii="仿宋" w:hAnsi="仿宋" w:eastAsia="仿宋" w:cs="仿宋"/>
          <w:i w:val="0"/>
          <w:iCs w:val="0"/>
          <w:caps w:val="0"/>
          <w:color w:val="404040"/>
          <w:spacing w:val="6"/>
          <w:kern w:val="0"/>
          <w:sz w:val="32"/>
          <w:szCs w:val="32"/>
          <w:bdr w:val="none" w:color="auto" w:sz="0" w:space="0"/>
          <w:shd w:val="clear" w:fill="FAFAFA"/>
          <w:lang w:val="en-US" w:eastAsia="zh-CN" w:bidi="ar"/>
        </w:rPr>
        <w:t>（五）代偿损失核销资产管理及清收管理办法。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64"/>
        <w:jc w:val="left"/>
        <w:rPr>
          <w:rFonts w:hint="eastAsia" w:ascii="宋体" w:hAnsi="宋体" w:eastAsia="宋体" w:cs="宋体"/>
          <w:i w:val="0"/>
          <w:iCs w:val="0"/>
          <w:caps w:val="0"/>
          <w:color w:val="404040"/>
          <w:spacing w:val="0"/>
          <w:sz w:val="27"/>
          <w:szCs w:val="27"/>
        </w:rPr>
      </w:pPr>
      <w:r>
        <w:rPr>
          <w:rFonts w:hint="eastAsia" w:ascii="仿宋" w:hAnsi="仿宋" w:eastAsia="仿宋" w:cs="仿宋"/>
          <w:i w:val="0"/>
          <w:iCs w:val="0"/>
          <w:caps w:val="0"/>
          <w:color w:val="404040"/>
          <w:spacing w:val="6"/>
          <w:kern w:val="0"/>
          <w:sz w:val="32"/>
          <w:szCs w:val="32"/>
          <w:bdr w:val="none" w:color="auto" w:sz="0" w:space="0"/>
          <w:shd w:val="clear" w:fill="FAFAFA"/>
          <w:lang w:val="en-US" w:eastAsia="zh-CN" w:bidi="ar"/>
        </w:rPr>
        <w:t>（六）代偿损失核销责任追究及免责管理办法。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64"/>
        <w:jc w:val="left"/>
        <w:rPr>
          <w:rFonts w:hint="eastAsia" w:ascii="宋体" w:hAnsi="宋体" w:eastAsia="宋体" w:cs="宋体"/>
          <w:i w:val="0"/>
          <w:iCs w:val="0"/>
          <w:caps w:val="0"/>
          <w:color w:val="404040"/>
          <w:spacing w:val="0"/>
          <w:sz w:val="27"/>
          <w:szCs w:val="27"/>
        </w:rPr>
      </w:pPr>
      <w:r>
        <w:rPr>
          <w:rFonts w:hint="eastAsia" w:ascii="仿宋" w:hAnsi="仿宋" w:eastAsia="仿宋" w:cs="仿宋"/>
          <w:i w:val="0"/>
          <w:iCs w:val="0"/>
          <w:caps w:val="0"/>
          <w:color w:val="404040"/>
          <w:spacing w:val="6"/>
          <w:kern w:val="0"/>
          <w:sz w:val="32"/>
          <w:szCs w:val="32"/>
          <w:bdr w:val="none" w:color="auto" w:sz="0" w:space="0"/>
          <w:shd w:val="clear" w:fill="FAFAFA"/>
          <w:lang w:val="en-US" w:eastAsia="zh-CN" w:bidi="ar"/>
        </w:rPr>
        <w:t>建立以上制度应组织开展外部专家评估和合法性审查，并与本机构是否开展年度代偿损失核销工作事项一并纳入“三重一大”事项管理，严格内部审批流程，报请本级财政、金融监管部门备案，抄送本级审计、税务、纪检监察、及出资人管理部门（机构）后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64"/>
        <w:jc w:val="left"/>
        <w:rPr>
          <w:rFonts w:hint="eastAsia" w:ascii="宋体" w:hAnsi="宋体" w:eastAsia="宋体" w:cs="宋体"/>
          <w:i w:val="0"/>
          <w:iCs w:val="0"/>
          <w:caps w:val="0"/>
          <w:color w:val="404040"/>
          <w:spacing w:val="0"/>
          <w:sz w:val="27"/>
          <w:szCs w:val="27"/>
        </w:rPr>
      </w:pPr>
      <w:r>
        <w:rPr>
          <w:rFonts w:hint="eastAsia" w:ascii="楷体" w:hAnsi="楷体" w:eastAsia="楷体" w:cs="楷体"/>
          <w:i w:val="0"/>
          <w:iCs w:val="0"/>
          <w:caps w:val="0"/>
          <w:color w:val="404040"/>
          <w:spacing w:val="6"/>
          <w:kern w:val="0"/>
          <w:sz w:val="32"/>
          <w:szCs w:val="32"/>
          <w:bdr w:val="none" w:color="auto" w:sz="0" w:space="0"/>
          <w:shd w:val="clear" w:fill="FAFAFA"/>
          <w:lang w:val="en-US" w:eastAsia="zh-CN" w:bidi="ar"/>
        </w:rPr>
        <w:t>第十条 </w:t>
      </w:r>
      <w:r>
        <w:rPr>
          <w:rFonts w:hint="eastAsia" w:ascii="仿宋" w:hAnsi="仿宋" w:eastAsia="仿宋" w:cs="仿宋"/>
          <w:i w:val="0"/>
          <w:iCs w:val="0"/>
          <w:caps w:val="0"/>
          <w:color w:val="404040"/>
          <w:spacing w:val="6"/>
          <w:kern w:val="0"/>
          <w:sz w:val="32"/>
          <w:szCs w:val="32"/>
          <w:bdr w:val="none" w:color="auto" w:sz="0" w:space="0"/>
          <w:shd w:val="clear" w:fill="FAFAFA"/>
          <w:lang w:val="en-US" w:eastAsia="zh-CN" w:bidi="ar"/>
        </w:rPr>
        <w:t>代偿损失核销工作应按照融资担保业务代偿损失核销操作规程有序开展，防止因流程缺失或违规导致法律风险。每个会计年度终了后3个月内，融资担保机构应当根据内部机构设置和职能分工，组织催收管理、财务会计、法律合规、风险内控等有关部门进行集体审议，形成具体实施工作方案。各级融资（再）担保机构应按照机构部门设置及职能分工情况明确内部各相关部门的职责和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64"/>
        <w:jc w:val="left"/>
        <w:rPr>
          <w:rFonts w:hint="eastAsia" w:ascii="宋体" w:hAnsi="宋体" w:eastAsia="宋体" w:cs="宋体"/>
          <w:i w:val="0"/>
          <w:iCs w:val="0"/>
          <w:caps w:val="0"/>
          <w:color w:val="404040"/>
          <w:spacing w:val="0"/>
          <w:sz w:val="27"/>
          <w:szCs w:val="27"/>
        </w:rPr>
      </w:pPr>
      <w:r>
        <w:rPr>
          <w:rFonts w:ascii="楷体_GB2312" w:hAnsi="宋体" w:eastAsia="楷体_GB2312" w:cs="楷体_GB2312"/>
          <w:i w:val="0"/>
          <w:iCs w:val="0"/>
          <w:caps w:val="0"/>
          <w:color w:val="404040"/>
          <w:spacing w:val="6"/>
          <w:kern w:val="0"/>
          <w:sz w:val="32"/>
          <w:szCs w:val="32"/>
          <w:bdr w:val="none" w:color="auto" w:sz="0" w:space="0"/>
          <w:shd w:val="clear" w:fill="FAFAFA"/>
          <w:lang w:val="en-US" w:eastAsia="zh-CN" w:bidi="ar"/>
        </w:rPr>
        <w:t>（一）核销发起。</w:t>
      </w:r>
      <w:r>
        <w:rPr>
          <w:rFonts w:hint="eastAsia" w:ascii="仿宋" w:hAnsi="仿宋" w:eastAsia="仿宋" w:cs="仿宋"/>
          <w:i w:val="0"/>
          <w:iCs w:val="0"/>
          <w:caps w:val="0"/>
          <w:color w:val="404040"/>
          <w:spacing w:val="6"/>
          <w:kern w:val="0"/>
          <w:sz w:val="32"/>
          <w:szCs w:val="32"/>
          <w:bdr w:val="none" w:color="auto" w:sz="0" w:space="0"/>
          <w:shd w:val="clear" w:fill="FAFAFA"/>
          <w:lang w:val="en-US" w:eastAsia="zh-CN" w:bidi="ar"/>
        </w:rPr>
        <w:t>各级融资（再）担保机构根据内部管理制度，由发起部门会同财务部门、业务主管部门商定年度核销项目清单，制定年度核销工作计划，经履行内部审批程序后，报请财政部门备案。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64"/>
        <w:jc w:val="left"/>
        <w:rPr>
          <w:rFonts w:hint="eastAsia" w:ascii="宋体" w:hAnsi="宋体" w:eastAsia="宋体" w:cs="宋体"/>
          <w:i w:val="0"/>
          <w:iCs w:val="0"/>
          <w:caps w:val="0"/>
          <w:color w:val="404040"/>
          <w:spacing w:val="0"/>
          <w:sz w:val="27"/>
          <w:szCs w:val="27"/>
        </w:rPr>
      </w:pPr>
      <w:r>
        <w:rPr>
          <w:rFonts w:hint="default" w:ascii="楷体_GB2312" w:hAnsi="宋体" w:eastAsia="楷体_GB2312" w:cs="楷体_GB2312"/>
          <w:i w:val="0"/>
          <w:iCs w:val="0"/>
          <w:caps w:val="0"/>
          <w:color w:val="404040"/>
          <w:spacing w:val="6"/>
          <w:kern w:val="0"/>
          <w:sz w:val="32"/>
          <w:szCs w:val="32"/>
          <w:bdr w:val="none" w:color="auto" w:sz="0" w:space="0"/>
          <w:shd w:val="clear" w:fill="FAFAFA"/>
          <w:lang w:val="en-US" w:eastAsia="zh-CN" w:bidi="ar"/>
        </w:rPr>
        <w:t>（二）收集证据。</w:t>
      </w:r>
      <w:r>
        <w:rPr>
          <w:rFonts w:hint="eastAsia" w:ascii="仿宋" w:hAnsi="仿宋" w:eastAsia="仿宋" w:cs="仿宋"/>
          <w:i w:val="0"/>
          <w:iCs w:val="0"/>
          <w:caps w:val="0"/>
          <w:color w:val="404040"/>
          <w:spacing w:val="6"/>
          <w:kern w:val="0"/>
          <w:sz w:val="32"/>
          <w:szCs w:val="32"/>
          <w:bdr w:val="none" w:color="auto" w:sz="0" w:space="0"/>
          <w:shd w:val="clear" w:fill="FAFAFA"/>
          <w:lang w:val="en-US" w:eastAsia="zh-CN" w:bidi="ar"/>
        </w:rPr>
        <w:t>根据同级财政部门批复意见，发起部门组织业务主管部门根据年度核销项目清单，收集核销所需证据材料。证据材料要求参照《金融企业呆账核销管理办法（2017年版）》（财金〔2017〕90号）附件1《一般债权呆账认定标准及核销所需相关材料》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64"/>
        <w:jc w:val="left"/>
        <w:rPr>
          <w:rFonts w:hint="eastAsia" w:ascii="宋体" w:hAnsi="宋体" w:eastAsia="宋体" w:cs="宋体"/>
          <w:i w:val="0"/>
          <w:iCs w:val="0"/>
          <w:caps w:val="0"/>
          <w:color w:val="404040"/>
          <w:spacing w:val="0"/>
          <w:sz w:val="27"/>
          <w:szCs w:val="27"/>
        </w:rPr>
      </w:pPr>
      <w:r>
        <w:rPr>
          <w:rFonts w:hint="default" w:ascii="楷体_GB2312" w:hAnsi="宋体" w:eastAsia="楷体_GB2312" w:cs="楷体_GB2312"/>
          <w:i w:val="0"/>
          <w:iCs w:val="0"/>
          <w:caps w:val="0"/>
          <w:color w:val="404040"/>
          <w:spacing w:val="6"/>
          <w:kern w:val="0"/>
          <w:sz w:val="32"/>
          <w:szCs w:val="32"/>
          <w:bdr w:val="none" w:color="auto" w:sz="0" w:space="0"/>
          <w:shd w:val="clear" w:fill="FAFAFA"/>
          <w:lang w:val="en-US" w:eastAsia="zh-CN" w:bidi="ar"/>
        </w:rPr>
        <w:t>（三）确认核销项目。</w:t>
      </w:r>
      <w:r>
        <w:rPr>
          <w:rFonts w:hint="eastAsia" w:ascii="仿宋" w:hAnsi="仿宋" w:eastAsia="仿宋" w:cs="仿宋"/>
          <w:i w:val="0"/>
          <w:iCs w:val="0"/>
          <w:caps w:val="0"/>
          <w:color w:val="404040"/>
          <w:spacing w:val="6"/>
          <w:kern w:val="0"/>
          <w:sz w:val="32"/>
          <w:szCs w:val="32"/>
          <w:bdr w:val="none" w:color="auto" w:sz="0" w:space="0"/>
          <w:shd w:val="clear" w:fill="FAFAFA"/>
          <w:lang w:val="en-US" w:eastAsia="zh-CN" w:bidi="ar"/>
        </w:rPr>
        <w:t>发起部门根据年度核销项目清单以及收集的核销所需证据材料情况，应委托第三方专门机构，对涉及年度核销清单项目进行专项甄别和审计，对核销的合规性、准确性逐一出具核销以及形成损失的主观客观原因的初步结论和相关建议，形成具有法律效力的专项审计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64"/>
        <w:jc w:val="left"/>
        <w:rPr>
          <w:rFonts w:hint="eastAsia" w:ascii="宋体" w:hAnsi="宋体" w:eastAsia="宋体" w:cs="宋体"/>
          <w:i w:val="0"/>
          <w:iCs w:val="0"/>
          <w:caps w:val="0"/>
          <w:color w:val="404040"/>
          <w:spacing w:val="0"/>
          <w:sz w:val="27"/>
          <w:szCs w:val="27"/>
        </w:rPr>
      </w:pPr>
      <w:r>
        <w:rPr>
          <w:rFonts w:hint="eastAsia" w:ascii="仿宋" w:hAnsi="仿宋" w:eastAsia="仿宋" w:cs="仿宋"/>
          <w:i w:val="0"/>
          <w:iCs w:val="0"/>
          <w:caps w:val="0"/>
          <w:color w:val="404040"/>
          <w:spacing w:val="6"/>
          <w:kern w:val="0"/>
          <w:sz w:val="32"/>
          <w:szCs w:val="32"/>
          <w:bdr w:val="none" w:color="auto" w:sz="0" w:space="0"/>
          <w:shd w:val="clear" w:fill="FAFAFA"/>
          <w:lang w:val="en-US" w:eastAsia="zh-CN" w:bidi="ar"/>
        </w:rPr>
        <w:t>对于委托追偿的，融资（再）担保机构可以以受托方的呆账认定结果作为本单位的呆账认定及核销依据。如委托银行追偿的，可以以银行的追偿和呆账认定结果作为本机构呆账认定及核销的依据。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64"/>
        <w:jc w:val="left"/>
        <w:rPr>
          <w:rFonts w:hint="eastAsia" w:ascii="宋体" w:hAnsi="宋体" w:eastAsia="宋体" w:cs="宋体"/>
          <w:i w:val="0"/>
          <w:iCs w:val="0"/>
          <w:caps w:val="0"/>
          <w:color w:val="404040"/>
          <w:spacing w:val="0"/>
          <w:sz w:val="27"/>
          <w:szCs w:val="27"/>
        </w:rPr>
      </w:pPr>
      <w:r>
        <w:rPr>
          <w:rFonts w:hint="eastAsia" w:ascii="仿宋" w:hAnsi="仿宋" w:eastAsia="仿宋" w:cs="仿宋"/>
          <w:i w:val="0"/>
          <w:iCs w:val="0"/>
          <w:caps w:val="0"/>
          <w:color w:val="404040"/>
          <w:spacing w:val="6"/>
          <w:kern w:val="0"/>
          <w:sz w:val="32"/>
          <w:szCs w:val="32"/>
          <w:bdr w:val="none" w:color="auto" w:sz="0" w:space="0"/>
          <w:shd w:val="clear" w:fill="FAFAFA"/>
          <w:lang w:val="en-US" w:eastAsia="zh-CN" w:bidi="ar"/>
        </w:rPr>
        <w:t>关于再担保机构代偿损失核销。省级再担保机构代偿损失核销要严格落实国家融资担保基金代偿损失核销管理制度，积极争取国家融资担保基金支持，做到应核尽核。应充分发挥省级再担保机构分险功能，指导市县（含省级）担保机构及时开展担保贷款代偿损失核销工作。对原担保机构按照规定已核销的代偿项目，省级再担保机构可直接采信原担保机构核销资料进行核销；原担保机构未核销但符合核销条件的代偿项目，省级再担保机构应按照规定履行相关程序后先行核销。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64"/>
        <w:jc w:val="left"/>
        <w:rPr>
          <w:rFonts w:hint="eastAsia" w:ascii="宋体" w:hAnsi="宋体" w:eastAsia="宋体" w:cs="宋体"/>
          <w:i w:val="0"/>
          <w:iCs w:val="0"/>
          <w:caps w:val="0"/>
          <w:color w:val="404040"/>
          <w:spacing w:val="0"/>
          <w:sz w:val="27"/>
          <w:szCs w:val="27"/>
        </w:rPr>
      </w:pPr>
      <w:r>
        <w:rPr>
          <w:rFonts w:hint="default" w:ascii="楷体_GB2312" w:hAnsi="宋体" w:eastAsia="楷体_GB2312" w:cs="楷体_GB2312"/>
          <w:i w:val="0"/>
          <w:iCs w:val="0"/>
          <w:caps w:val="0"/>
          <w:color w:val="404040"/>
          <w:spacing w:val="6"/>
          <w:kern w:val="0"/>
          <w:sz w:val="32"/>
          <w:szCs w:val="32"/>
          <w:bdr w:val="none" w:color="auto" w:sz="0" w:space="0"/>
          <w:shd w:val="clear" w:fill="FAFAFA"/>
          <w:lang w:val="en-US" w:eastAsia="zh-CN" w:bidi="ar"/>
        </w:rPr>
        <w:t>（四）联合会审。</w:t>
      </w:r>
      <w:r>
        <w:rPr>
          <w:rFonts w:hint="eastAsia" w:ascii="仿宋" w:hAnsi="仿宋" w:eastAsia="仿宋" w:cs="仿宋"/>
          <w:i w:val="0"/>
          <w:iCs w:val="0"/>
          <w:caps w:val="0"/>
          <w:color w:val="404040"/>
          <w:spacing w:val="6"/>
          <w:kern w:val="0"/>
          <w:sz w:val="32"/>
          <w:szCs w:val="32"/>
          <w:bdr w:val="none" w:color="auto" w:sz="0" w:space="0"/>
          <w:shd w:val="clear" w:fill="FAFAFA"/>
          <w:lang w:val="en-US" w:eastAsia="zh-CN" w:bidi="ar"/>
        </w:rPr>
        <w:t>发起部门根据第三方专门出具的专项审计报告，组织财务部门、法务、风险管理等部门对业务主管部门提交的核销申请以及相关证据材料进行初审，出具会审意见及《法律意见书》等初审意见以及损失形成原因的专门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64"/>
        <w:jc w:val="left"/>
        <w:rPr>
          <w:rFonts w:hint="eastAsia" w:ascii="宋体" w:hAnsi="宋体" w:eastAsia="宋体" w:cs="宋体"/>
          <w:i w:val="0"/>
          <w:iCs w:val="0"/>
          <w:caps w:val="0"/>
          <w:color w:val="404040"/>
          <w:spacing w:val="0"/>
          <w:sz w:val="27"/>
          <w:szCs w:val="27"/>
        </w:rPr>
      </w:pPr>
      <w:r>
        <w:rPr>
          <w:rFonts w:hint="default" w:ascii="楷体_GB2312" w:hAnsi="宋体" w:eastAsia="楷体_GB2312" w:cs="楷体_GB2312"/>
          <w:i w:val="0"/>
          <w:iCs w:val="0"/>
          <w:caps w:val="0"/>
          <w:color w:val="404040"/>
          <w:spacing w:val="6"/>
          <w:kern w:val="0"/>
          <w:sz w:val="32"/>
          <w:szCs w:val="32"/>
          <w:bdr w:val="none" w:color="auto" w:sz="0" w:space="0"/>
          <w:shd w:val="clear" w:fill="FAFAFA"/>
          <w:lang w:val="en-US" w:eastAsia="zh-CN" w:bidi="ar"/>
        </w:rPr>
        <w:t>（五）总经理办公会审议。</w:t>
      </w:r>
      <w:r>
        <w:rPr>
          <w:rFonts w:hint="eastAsia" w:ascii="仿宋" w:hAnsi="仿宋" w:eastAsia="仿宋" w:cs="仿宋"/>
          <w:i w:val="0"/>
          <w:iCs w:val="0"/>
          <w:caps w:val="0"/>
          <w:color w:val="404040"/>
          <w:spacing w:val="6"/>
          <w:kern w:val="0"/>
          <w:sz w:val="32"/>
          <w:szCs w:val="32"/>
          <w:bdr w:val="none" w:color="auto" w:sz="0" w:space="0"/>
          <w:shd w:val="clear" w:fill="FAFAFA"/>
          <w:lang w:val="en-US" w:eastAsia="zh-CN" w:bidi="ar"/>
        </w:rPr>
        <w:t>发起部门根据风险处置内设机构专门报告，按照“三重一大”审议事项要求，形成年度核销清单项目审批事项专报（应包括核销发起政策依据、相关工作流程、佐证材料以及核销途径和具体建议），提交总经理办公会审议，形成提交党的委员会和董事会审议的专项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64"/>
        <w:jc w:val="left"/>
        <w:rPr>
          <w:rFonts w:hint="eastAsia" w:ascii="宋体" w:hAnsi="宋体" w:eastAsia="宋体" w:cs="宋体"/>
          <w:i w:val="0"/>
          <w:iCs w:val="0"/>
          <w:caps w:val="0"/>
          <w:color w:val="404040"/>
          <w:spacing w:val="0"/>
          <w:sz w:val="27"/>
          <w:szCs w:val="27"/>
        </w:rPr>
      </w:pPr>
      <w:r>
        <w:rPr>
          <w:rFonts w:hint="default" w:ascii="楷体_GB2312" w:hAnsi="宋体" w:eastAsia="楷体_GB2312" w:cs="楷体_GB2312"/>
          <w:i w:val="0"/>
          <w:iCs w:val="0"/>
          <w:caps w:val="0"/>
          <w:color w:val="404040"/>
          <w:spacing w:val="6"/>
          <w:kern w:val="0"/>
          <w:sz w:val="32"/>
          <w:szCs w:val="32"/>
          <w:bdr w:val="none" w:color="auto" w:sz="0" w:space="0"/>
          <w:shd w:val="clear" w:fill="FAFAFA"/>
          <w:lang w:val="en-US" w:eastAsia="zh-CN" w:bidi="ar"/>
        </w:rPr>
        <w:t>（六）重大事项审议。</w:t>
      </w:r>
      <w:r>
        <w:rPr>
          <w:rFonts w:hint="eastAsia" w:ascii="仿宋" w:hAnsi="仿宋" w:eastAsia="仿宋" w:cs="仿宋"/>
          <w:i w:val="0"/>
          <w:iCs w:val="0"/>
          <w:caps w:val="0"/>
          <w:color w:val="404040"/>
          <w:spacing w:val="6"/>
          <w:kern w:val="0"/>
          <w:sz w:val="32"/>
          <w:szCs w:val="32"/>
          <w:bdr w:val="none" w:color="auto" w:sz="0" w:space="0"/>
          <w:shd w:val="clear" w:fill="FAFAFA"/>
          <w:lang w:val="en-US" w:eastAsia="zh-CN" w:bidi="ar"/>
        </w:rPr>
        <w:t>组织召开党的委员会，按照“三重一大”审议事项工作要求，进行专项审议。审议内容不限于是否同意核销、是否向出资人管理部门（机构）申请增资、是否对项目负责人予以免责或追责以及核销后资产处置和管理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64"/>
        <w:jc w:val="left"/>
        <w:rPr>
          <w:rFonts w:hint="eastAsia" w:ascii="宋体" w:hAnsi="宋体" w:eastAsia="宋体" w:cs="宋体"/>
          <w:i w:val="0"/>
          <w:iCs w:val="0"/>
          <w:caps w:val="0"/>
          <w:color w:val="404040"/>
          <w:spacing w:val="0"/>
          <w:sz w:val="27"/>
          <w:szCs w:val="27"/>
        </w:rPr>
      </w:pPr>
      <w:r>
        <w:rPr>
          <w:rFonts w:hint="default" w:ascii="楷体_GB2312" w:hAnsi="宋体" w:eastAsia="楷体_GB2312" w:cs="楷体_GB2312"/>
          <w:i w:val="0"/>
          <w:iCs w:val="0"/>
          <w:caps w:val="0"/>
          <w:color w:val="404040"/>
          <w:spacing w:val="6"/>
          <w:kern w:val="0"/>
          <w:sz w:val="32"/>
          <w:szCs w:val="32"/>
          <w:bdr w:val="none" w:color="auto" w:sz="0" w:space="0"/>
          <w:shd w:val="clear" w:fill="FAFAFA"/>
          <w:lang w:val="en-US" w:eastAsia="zh-CN" w:bidi="ar"/>
        </w:rPr>
        <w:t>（七）董事会审议。</w:t>
      </w:r>
      <w:r>
        <w:rPr>
          <w:rFonts w:hint="eastAsia" w:ascii="仿宋" w:hAnsi="仿宋" w:eastAsia="仿宋" w:cs="仿宋"/>
          <w:i w:val="0"/>
          <w:iCs w:val="0"/>
          <w:caps w:val="0"/>
          <w:color w:val="404040"/>
          <w:spacing w:val="6"/>
          <w:kern w:val="0"/>
          <w:sz w:val="32"/>
          <w:szCs w:val="32"/>
          <w:bdr w:val="none" w:color="auto" w:sz="0" w:space="0"/>
          <w:shd w:val="clear" w:fill="FAFAFA"/>
          <w:lang w:val="en-US" w:eastAsia="zh-CN" w:bidi="ar"/>
        </w:rPr>
        <w:t>非国有独资融资（再）担保机构经董事会、股东大会审议核准后，发起部门应形成专门请示，报请出资人管理部门（机构）备案。国有独资融资（再）担保机构可根据党的委员会“三重一大”决议，经董事会审议核准后形成专门请示，报请出资人管理部门（机构）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64"/>
        <w:jc w:val="left"/>
        <w:rPr>
          <w:rFonts w:hint="eastAsia" w:ascii="宋体" w:hAnsi="宋体" w:eastAsia="宋体" w:cs="宋体"/>
          <w:i w:val="0"/>
          <w:iCs w:val="0"/>
          <w:caps w:val="0"/>
          <w:color w:val="404040"/>
          <w:spacing w:val="0"/>
          <w:sz w:val="27"/>
          <w:szCs w:val="27"/>
        </w:rPr>
      </w:pPr>
      <w:r>
        <w:rPr>
          <w:rFonts w:hint="default" w:ascii="楷体_GB2312" w:hAnsi="宋体" w:eastAsia="楷体_GB2312" w:cs="楷体_GB2312"/>
          <w:i w:val="0"/>
          <w:iCs w:val="0"/>
          <w:caps w:val="0"/>
          <w:color w:val="404040"/>
          <w:spacing w:val="6"/>
          <w:kern w:val="0"/>
          <w:sz w:val="32"/>
          <w:szCs w:val="32"/>
          <w:bdr w:val="none" w:color="auto" w:sz="0" w:space="0"/>
          <w:shd w:val="clear" w:fill="FAFAFA"/>
          <w:lang w:val="en-US" w:eastAsia="zh-CN" w:bidi="ar"/>
        </w:rPr>
        <w:t>（八）出资人备案。</w:t>
      </w:r>
      <w:r>
        <w:rPr>
          <w:rFonts w:hint="eastAsia" w:ascii="仿宋" w:hAnsi="仿宋" w:eastAsia="仿宋" w:cs="仿宋"/>
          <w:i w:val="0"/>
          <w:iCs w:val="0"/>
          <w:caps w:val="0"/>
          <w:color w:val="404040"/>
          <w:spacing w:val="6"/>
          <w:kern w:val="0"/>
          <w:sz w:val="32"/>
          <w:szCs w:val="32"/>
          <w:bdr w:val="none" w:color="auto" w:sz="0" w:space="0"/>
          <w:shd w:val="clear" w:fill="FAFAFA"/>
          <w:lang w:val="en-US" w:eastAsia="zh-CN" w:bidi="ar"/>
        </w:rPr>
        <w:t>出资人管理部门（机构）应按照职责，对资料完整性、程序合规性以及所请事项合法性等进行备案，若5个工作日内未提出不同意见，视为备案通过。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64"/>
        <w:jc w:val="left"/>
        <w:rPr>
          <w:rFonts w:hint="eastAsia" w:ascii="宋体" w:hAnsi="宋体" w:eastAsia="宋体" w:cs="宋体"/>
          <w:i w:val="0"/>
          <w:iCs w:val="0"/>
          <w:caps w:val="0"/>
          <w:color w:val="404040"/>
          <w:spacing w:val="0"/>
          <w:sz w:val="27"/>
          <w:szCs w:val="27"/>
        </w:rPr>
      </w:pPr>
      <w:r>
        <w:rPr>
          <w:rFonts w:hint="default" w:ascii="楷体_GB2312" w:hAnsi="宋体" w:eastAsia="楷体_GB2312" w:cs="楷体_GB2312"/>
          <w:i w:val="0"/>
          <w:iCs w:val="0"/>
          <w:caps w:val="0"/>
          <w:color w:val="404040"/>
          <w:spacing w:val="6"/>
          <w:kern w:val="0"/>
          <w:sz w:val="32"/>
          <w:szCs w:val="32"/>
          <w:bdr w:val="none" w:color="auto" w:sz="0" w:space="0"/>
          <w:shd w:val="clear" w:fill="FAFAFA"/>
          <w:lang w:val="en-US" w:eastAsia="zh-CN" w:bidi="ar"/>
        </w:rPr>
        <w:t>（九）核销备案。</w:t>
      </w:r>
      <w:r>
        <w:rPr>
          <w:rFonts w:hint="eastAsia" w:ascii="仿宋_GB2312" w:hAnsi="宋体" w:eastAsia="仿宋_GB2312" w:cs="仿宋_GB2312"/>
          <w:i w:val="0"/>
          <w:iCs w:val="0"/>
          <w:caps w:val="0"/>
          <w:color w:val="404040"/>
          <w:spacing w:val="6"/>
          <w:kern w:val="0"/>
          <w:sz w:val="32"/>
          <w:szCs w:val="32"/>
          <w:bdr w:val="none" w:color="auto" w:sz="0" w:space="0"/>
          <w:shd w:val="clear" w:fill="FAFAFA"/>
          <w:lang w:val="en-US" w:eastAsia="zh-CN" w:bidi="ar"/>
        </w:rPr>
        <w:t>报请出资人管理机构备案通过后，发起部门应会同财务部门按相关会计</w:t>
      </w:r>
      <w:r>
        <w:rPr>
          <w:rFonts w:hint="eastAsia" w:ascii="仿宋" w:hAnsi="仿宋" w:eastAsia="仿宋" w:cs="仿宋"/>
          <w:i w:val="0"/>
          <w:iCs w:val="0"/>
          <w:caps w:val="0"/>
          <w:color w:val="404040"/>
          <w:spacing w:val="6"/>
          <w:kern w:val="0"/>
          <w:sz w:val="32"/>
          <w:szCs w:val="32"/>
          <w:bdr w:val="none" w:color="auto" w:sz="0" w:space="0"/>
          <w:shd w:val="clear" w:fill="FAFAFA"/>
          <w:lang w:val="en-US" w:eastAsia="zh-CN" w:bidi="ar"/>
        </w:rPr>
        <w:t>制度进行账务处理，并建立专门档案。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64"/>
        <w:jc w:val="left"/>
        <w:rPr>
          <w:rFonts w:hint="eastAsia" w:ascii="宋体" w:hAnsi="宋体" w:eastAsia="宋体" w:cs="宋体"/>
          <w:i w:val="0"/>
          <w:iCs w:val="0"/>
          <w:caps w:val="0"/>
          <w:color w:val="404040"/>
          <w:spacing w:val="0"/>
          <w:sz w:val="27"/>
          <w:szCs w:val="27"/>
        </w:rPr>
      </w:pPr>
      <w:r>
        <w:rPr>
          <w:rFonts w:hint="default" w:ascii="楷体_GB2312" w:hAnsi="宋体" w:eastAsia="楷体_GB2312" w:cs="楷体_GB2312"/>
          <w:i w:val="0"/>
          <w:iCs w:val="0"/>
          <w:caps w:val="0"/>
          <w:color w:val="404040"/>
          <w:spacing w:val="6"/>
          <w:kern w:val="0"/>
          <w:sz w:val="32"/>
          <w:szCs w:val="32"/>
          <w:bdr w:val="none" w:color="auto" w:sz="0" w:space="0"/>
          <w:shd w:val="clear" w:fill="FAFAFA"/>
          <w:lang w:val="en-US" w:eastAsia="zh-CN" w:bidi="ar"/>
        </w:rPr>
        <w:t>（十）专项报告。</w:t>
      </w:r>
      <w:r>
        <w:rPr>
          <w:rFonts w:hint="eastAsia" w:ascii="仿宋" w:hAnsi="仿宋" w:eastAsia="仿宋" w:cs="仿宋"/>
          <w:i w:val="0"/>
          <w:iCs w:val="0"/>
          <w:caps w:val="0"/>
          <w:color w:val="404040"/>
          <w:spacing w:val="6"/>
          <w:kern w:val="0"/>
          <w:sz w:val="32"/>
          <w:szCs w:val="32"/>
          <w:bdr w:val="none" w:color="auto" w:sz="0" w:space="0"/>
          <w:shd w:val="clear" w:fill="FAFAFA"/>
          <w:lang w:val="en-US" w:eastAsia="zh-CN" w:bidi="ar"/>
        </w:rPr>
        <w:t>每年6月份前，融资（再）担保机构应向同级财政部门和金融监管部门报送上年度呆账核销情况以及专项审计报告。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0"/>
        <w:jc w:val="center"/>
        <w:rPr>
          <w:rFonts w:hint="eastAsia" w:ascii="宋体" w:hAnsi="宋体" w:eastAsia="宋体" w:cs="宋体"/>
          <w:i w:val="0"/>
          <w:iCs w:val="0"/>
          <w:caps w:val="0"/>
          <w:color w:val="404040"/>
          <w:spacing w:val="0"/>
          <w:sz w:val="27"/>
          <w:szCs w:val="27"/>
        </w:rPr>
      </w:pPr>
      <w:r>
        <w:rPr>
          <w:rFonts w:hint="eastAsia" w:ascii="黑体" w:hAnsi="宋体" w:eastAsia="黑体" w:cs="黑体"/>
          <w:i w:val="0"/>
          <w:iCs w:val="0"/>
          <w:caps w:val="0"/>
          <w:color w:val="404040"/>
          <w:spacing w:val="6"/>
          <w:kern w:val="0"/>
          <w:sz w:val="32"/>
          <w:szCs w:val="32"/>
          <w:bdr w:val="none" w:color="auto" w:sz="0" w:space="0"/>
          <w:shd w:val="clear" w:fill="FAFAFA"/>
          <w:lang w:val="en-US" w:eastAsia="zh-CN" w:bidi="ar"/>
        </w:rPr>
        <w:t>第四章 损失认定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64"/>
        <w:jc w:val="left"/>
        <w:rPr>
          <w:rFonts w:hint="eastAsia" w:ascii="宋体" w:hAnsi="宋体" w:eastAsia="宋体" w:cs="宋体"/>
          <w:i w:val="0"/>
          <w:iCs w:val="0"/>
          <w:caps w:val="0"/>
          <w:color w:val="404040"/>
          <w:spacing w:val="0"/>
          <w:sz w:val="27"/>
          <w:szCs w:val="27"/>
        </w:rPr>
      </w:pPr>
      <w:r>
        <w:rPr>
          <w:rFonts w:hint="eastAsia" w:ascii="楷体" w:hAnsi="楷体" w:eastAsia="楷体" w:cs="楷体"/>
          <w:i w:val="0"/>
          <w:iCs w:val="0"/>
          <w:caps w:val="0"/>
          <w:color w:val="404040"/>
          <w:spacing w:val="6"/>
          <w:kern w:val="0"/>
          <w:sz w:val="32"/>
          <w:szCs w:val="32"/>
          <w:bdr w:val="none" w:color="auto" w:sz="0" w:space="0"/>
          <w:shd w:val="clear" w:fill="FAFAFA"/>
          <w:lang w:val="en-US" w:eastAsia="zh-CN" w:bidi="ar"/>
        </w:rPr>
        <w:t>第十一条 </w:t>
      </w:r>
      <w:r>
        <w:rPr>
          <w:rFonts w:hint="eastAsia" w:ascii="仿宋" w:hAnsi="仿宋" w:eastAsia="仿宋" w:cs="仿宋"/>
          <w:i w:val="0"/>
          <w:iCs w:val="0"/>
          <w:caps w:val="0"/>
          <w:color w:val="404040"/>
          <w:spacing w:val="6"/>
          <w:kern w:val="0"/>
          <w:sz w:val="32"/>
          <w:szCs w:val="32"/>
          <w:bdr w:val="none" w:color="auto" w:sz="0" w:space="0"/>
          <w:shd w:val="clear" w:fill="FAFAFA"/>
          <w:lang w:val="en-US" w:eastAsia="zh-CN" w:bidi="ar"/>
        </w:rPr>
        <w:t>依法认定代偿损失是开展核销工作的前提，融资（再）担保机构应严格按照财政部《金融企业呆账核销管理办法（2017年版）》规定，建立健全代偿损失认定制度，依法依规科学甄别年度核销清单项目，充分利用大数据等科技手段提高认定工作效率和质量以及相关证明材料的合法性、有效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64"/>
        <w:jc w:val="left"/>
        <w:rPr>
          <w:rFonts w:hint="eastAsia" w:ascii="宋体" w:hAnsi="宋体" w:eastAsia="宋体" w:cs="宋体"/>
          <w:i w:val="0"/>
          <w:iCs w:val="0"/>
          <w:caps w:val="0"/>
          <w:color w:val="404040"/>
          <w:spacing w:val="0"/>
          <w:sz w:val="27"/>
          <w:szCs w:val="27"/>
        </w:rPr>
      </w:pPr>
      <w:r>
        <w:rPr>
          <w:rFonts w:hint="eastAsia" w:ascii="仿宋" w:hAnsi="仿宋" w:eastAsia="仿宋" w:cs="仿宋"/>
          <w:i w:val="0"/>
          <w:iCs w:val="0"/>
          <w:caps w:val="0"/>
          <w:color w:val="404040"/>
          <w:spacing w:val="6"/>
          <w:kern w:val="0"/>
          <w:sz w:val="32"/>
          <w:szCs w:val="32"/>
          <w:bdr w:val="none" w:color="auto" w:sz="0" w:space="0"/>
          <w:shd w:val="clear" w:fill="FAFAFA"/>
          <w:lang w:val="en-US" w:eastAsia="zh-CN" w:bidi="ar"/>
        </w:rPr>
        <w:t>下列代偿资产不得作为代偿损失核销：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64"/>
        <w:jc w:val="left"/>
        <w:rPr>
          <w:rFonts w:hint="eastAsia" w:ascii="宋体" w:hAnsi="宋体" w:eastAsia="宋体" w:cs="宋体"/>
          <w:i w:val="0"/>
          <w:iCs w:val="0"/>
          <w:caps w:val="0"/>
          <w:color w:val="404040"/>
          <w:spacing w:val="0"/>
          <w:sz w:val="27"/>
          <w:szCs w:val="27"/>
        </w:rPr>
      </w:pPr>
      <w:r>
        <w:rPr>
          <w:rFonts w:hint="eastAsia" w:ascii="仿宋" w:hAnsi="仿宋" w:eastAsia="仿宋" w:cs="仿宋"/>
          <w:i w:val="0"/>
          <w:iCs w:val="0"/>
          <w:caps w:val="0"/>
          <w:color w:val="404040"/>
          <w:spacing w:val="6"/>
          <w:kern w:val="0"/>
          <w:sz w:val="32"/>
          <w:szCs w:val="32"/>
          <w:bdr w:val="none" w:color="auto" w:sz="0" w:space="0"/>
          <w:shd w:val="clear" w:fill="FAFAFA"/>
          <w:lang w:val="en-US" w:eastAsia="zh-CN" w:bidi="ar"/>
        </w:rPr>
        <w:t>（一）被担保人或者反担保人有经济偿还能力，融资（再）担保机构未按规定履行所有可能的措施和实施必要程序追偿的债权。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64"/>
        <w:jc w:val="left"/>
        <w:rPr>
          <w:rFonts w:hint="eastAsia" w:ascii="宋体" w:hAnsi="宋体" w:eastAsia="宋体" w:cs="宋体"/>
          <w:i w:val="0"/>
          <w:iCs w:val="0"/>
          <w:caps w:val="0"/>
          <w:color w:val="404040"/>
          <w:spacing w:val="0"/>
          <w:sz w:val="27"/>
          <w:szCs w:val="27"/>
        </w:rPr>
      </w:pPr>
      <w:r>
        <w:rPr>
          <w:rFonts w:hint="eastAsia" w:ascii="仿宋" w:hAnsi="仿宋" w:eastAsia="仿宋" w:cs="仿宋"/>
          <w:i w:val="0"/>
          <w:iCs w:val="0"/>
          <w:caps w:val="0"/>
          <w:color w:val="404040"/>
          <w:spacing w:val="6"/>
          <w:kern w:val="0"/>
          <w:sz w:val="32"/>
          <w:szCs w:val="32"/>
          <w:bdr w:val="none" w:color="auto" w:sz="0" w:space="0"/>
          <w:shd w:val="clear" w:fill="FAFAFA"/>
          <w:lang w:val="en-US" w:eastAsia="zh-CN" w:bidi="ar"/>
        </w:rPr>
        <w:t>（二）违反法律、法规规定，以各种形式逃废或者悬空的债权。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64"/>
        <w:jc w:val="left"/>
        <w:rPr>
          <w:rFonts w:hint="eastAsia" w:ascii="宋体" w:hAnsi="宋体" w:eastAsia="宋体" w:cs="宋体"/>
          <w:i w:val="0"/>
          <w:iCs w:val="0"/>
          <w:caps w:val="0"/>
          <w:color w:val="404040"/>
          <w:spacing w:val="0"/>
          <w:sz w:val="27"/>
          <w:szCs w:val="27"/>
        </w:rPr>
      </w:pPr>
      <w:r>
        <w:rPr>
          <w:rFonts w:hint="eastAsia" w:ascii="仿宋" w:hAnsi="仿宋" w:eastAsia="仿宋" w:cs="仿宋"/>
          <w:i w:val="0"/>
          <w:iCs w:val="0"/>
          <w:caps w:val="0"/>
          <w:color w:val="404040"/>
          <w:spacing w:val="6"/>
          <w:kern w:val="0"/>
          <w:sz w:val="32"/>
          <w:szCs w:val="32"/>
          <w:bdr w:val="none" w:color="auto" w:sz="0" w:space="0"/>
          <w:shd w:val="clear" w:fill="FAFAFA"/>
          <w:lang w:val="en-US" w:eastAsia="zh-CN" w:bidi="ar"/>
        </w:rPr>
        <w:t>（三）因行政干预造成逃废或者悬空的债权。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64"/>
        <w:jc w:val="left"/>
        <w:rPr>
          <w:rFonts w:hint="eastAsia" w:ascii="宋体" w:hAnsi="宋体" w:eastAsia="宋体" w:cs="宋体"/>
          <w:i w:val="0"/>
          <w:iCs w:val="0"/>
          <w:caps w:val="0"/>
          <w:color w:val="404040"/>
          <w:spacing w:val="0"/>
          <w:sz w:val="27"/>
          <w:szCs w:val="27"/>
        </w:rPr>
      </w:pPr>
      <w:r>
        <w:rPr>
          <w:rFonts w:hint="eastAsia" w:ascii="仿宋" w:hAnsi="仿宋" w:eastAsia="仿宋" w:cs="仿宋"/>
          <w:i w:val="0"/>
          <w:iCs w:val="0"/>
          <w:caps w:val="0"/>
          <w:color w:val="404040"/>
          <w:spacing w:val="6"/>
          <w:kern w:val="0"/>
          <w:sz w:val="32"/>
          <w:szCs w:val="32"/>
          <w:bdr w:val="none" w:color="auto" w:sz="0" w:space="0"/>
          <w:shd w:val="clear" w:fill="FAFAFA"/>
          <w:lang w:val="en-US" w:eastAsia="zh-CN" w:bidi="ar"/>
        </w:rPr>
        <w:t>（四）融资（再）担保机构未向被担保人或者反担保人追偿的债权，追偿方式包括但不限于诉讼追偿、现场追偿、电话追偿等方式。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64"/>
        <w:jc w:val="left"/>
        <w:rPr>
          <w:rFonts w:hint="eastAsia" w:ascii="宋体" w:hAnsi="宋体" w:eastAsia="宋体" w:cs="宋体"/>
          <w:i w:val="0"/>
          <w:iCs w:val="0"/>
          <w:caps w:val="0"/>
          <w:color w:val="404040"/>
          <w:spacing w:val="0"/>
          <w:sz w:val="27"/>
          <w:szCs w:val="27"/>
        </w:rPr>
      </w:pPr>
      <w:r>
        <w:rPr>
          <w:rFonts w:hint="eastAsia" w:ascii="仿宋" w:hAnsi="仿宋" w:eastAsia="仿宋" w:cs="仿宋"/>
          <w:i w:val="0"/>
          <w:iCs w:val="0"/>
          <w:caps w:val="0"/>
          <w:color w:val="404040"/>
          <w:spacing w:val="6"/>
          <w:kern w:val="0"/>
          <w:sz w:val="32"/>
          <w:szCs w:val="32"/>
          <w:bdr w:val="none" w:color="auto" w:sz="0" w:space="0"/>
          <w:shd w:val="clear" w:fill="FAFAFA"/>
          <w:lang w:val="en-US" w:eastAsia="zh-CN" w:bidi="ar"/>
        </w:rPr>
        <w:t>（五）其他不应该核销的融资（再）担保机构债权。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64"/>
        <w:jc w:val="left"/>
        <w:rPr>
          <w:rFonts w:hint="eastAsia" w:ascii="宋体" w:hAnsi="宋体" w:eastAsia="宋体" w:cs="宋体"/>
          <w:i w:val="0"/>
          <w:iCs w:val="0"/>
          <w:caps w:val="0"/>
          <w:color w:val="404040"/>
          <w:spacing w:val="0"/>
          <w:sz w:val="27"/>
          <w:szCs w:val="27"/>
        </w:rPr>
      </w:pPr>
      <w:r>
        <w:rPr>
          <w:rFonts w:hint="eastAsia" w:ascii="楷体" w:hAnsi="楷体" w:eastAsia="楷体" w:cs="楷体"/>
          <w:i w:val="0"/>
          <w:iCs w:val="0"/>
          <w:caps w:val="0"/>
          <w:color w:val="404040"/>
          <w:spacing w:val="6"/>
          <w:kern w:val="0"/>
          <w:sz w:val="32"/>
          <w:szCs w:val="32"/>
          <w:bdr w:val="none" w:color="auto" w:sz="0" w:space="0"/>
          <w:shd w:val="clear" w:fill="FAFAFA"/>
          <w:lang w:val="en-US" w:eastAsia="zh-CN" w:bidi="ar"/>
        </w:rPr>
        <w:t>第十二条 </w:t>
      </w:r>
      <w:r>
        <w:rPr>
          <w:rFonts w:hint="eastAsia" w:ascii="仿宋" w:hAnsi="仿宋" w:eastAsia="仿宋" w:cs="仿宋"/>
          <w:i w:val="0"/>
          <w:iCs w:val="0"/>
          <w:caps w:val="0"/>
          <w:color w:val="404040"/>
          <w:spacing w:val="6"/>
          <w:kern w:val="0"/>
          <w:sz w:val="32"/>
          <w:szCs w:val="32"/>
          <w:bdr w:val="none" w:color="auto" w:sz="0" w:space="0"/>
          <w:shd w:val="clear" w:fill="FAFAFA"/>
          <w:lang w:val="en-US" w:eastAsia="zh-CN" w:bidi="ar"/>
        </w:rPr>
        <w:t>各级融资（再）担保机构须建立代偿损失核销后的资产保全和追偿制度。除法律法规规定债权与债务关系已经完全终结的情况外，融资（再）担保机构对已核销的代偿损失继续保留追偿的权利，并对已经核销的代偿损失及核销后应追回的其他权益继续催收。法律法规规定债权与债务关系已经完全终结的情况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40"/>
        <w:jc w:val="left"/>
        <w:rPr>
          <w:rFonts w:hint="eastAsia" w:ascii="宋体" w:hAnsi="宋体" w:eastAsia="宋体" w:cs="宋体"/>
          <w:i w:val="0"/>
          <w:iCs w:val="0"/>
          <w:caps w:val="0"/>
          <w:color w:val="404040"/>
          <w:spacing w:val="0"/>
          <w:sz w:val="27"/>
          <w:szCs w:val="27"/>
        </w:rPr>
      </w:pPr>
      <w:r>
        <w:rPr>
          <w:rFonts w:hint="eastAsia" w:ascii="仿宋_GB2312" w:hAnsi="宋体" w:eastAsia="仿宋_GB2312" w:cs="仿宋_GB2312"/>
          <w:i w:val="0"/>
          <w:iCs w:val="0"/>
          <w:caps w:val="0"/>
          <w:color w:val="404040"/>
          <w:spacing w:val="0"/>
          <w:kern w:val="0"/>
          <w:sz w:val="32"/>
          <w:szCs w:val="32"/>
          <w:bdr w:val="none" w:color="auto" w:sz="0" w:space="0"/>
          <w:shd w:val="clear" w:fill="FAFAFA"/>
          <w:lang w:val="en-US" w:eastAsia="zh-CN" w:bidi="ar"/>
        </w:rPr>
        <w:t>（一）列入国家兼并破产计划核销的债权。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40"/>
        <w:jc w:val="left"/>
        <w:rPr>
          <w:rFonts w:hint="eastAsia" w:ascii="宋体" w:hAnsi="宋体" w:eastAsia="宋体" w:cs="宋体"/>
          <w:i w:val="0"/>
          <w:iCs w:val="0"/>
          <w:caps w:val="0"/>
          <w:color w:val="404040"/>
          <w:spacing w:val="0"/>
          <w:sz w:val="27"/>
          <w:szCs w:val="27"/>
        </w:rPr>
      </w:pPr>
      <w:r>
        <w:rPr>
          <w:rFonts w:hint="eastAsia" w:ascii="仿宋_GB2312" w:hAnsi="宋体" w:eastAsia="仿宋_GB2312" w:cs="仿宋_GB2312"/>
          <w:i w:val="0"/>
          <w:iCs w:val="0"/>
          <w:caps w:val="0"/>
          <w:color w:val="404040"/>
          <w:spacing w:val="0"/>
          <w:kern w:val="0"/>
          <w:sz w:val="32"/>
          <w:szCs w:val="32"/>
          <w:bdr w:val="none" w:color="auto" w:sz="0" w:space="0"/>
          <w:shd w:val="clear" w:fill="FAFAFA"/>
          <w:lang w:val="en-US" w:eastAsia="zh-CN" w:bidi="ar"/>
        </w:rPr>
        <w:t>（二）法院裁定终结执行（含终结本次执行）免除责任，并且了结全部债权债务关系的债权（含双方执行和解等情况）。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40"/>
        <w:jc w:val="left"/>
        <w:rPr>
          <w:rFonts w:hint="eastAsia" w:ascii="宋体" w:hAnsi="宋体" w:eastAsia="宋体" w:cs="宋体"/>
          <w:i w:val="0"/>
          <w:iCs w:val="0"/>
          <w:caps w:val="0"/>
          <w:color w:val="404040"/>
          <w:spacing w:val="0"/>
          <w:sz w:val="27"/>
          <w:szCs w:val="27"/>
        </w:rPr>
      </w:pPr>
      <w:r>
        <w:rPr>
          <w:rFonts w:hint="eastAsia" w:ascii="仿宋_GB2312" w:hAnsi="宋体" w:eastAsia="仿宋_GB2312" w:cs="仿宋_GB2312"/>
          <w:i w:val="0"/>
          <w:iCs w:val="0"/>
          <w:caps w:val="0"/>
          <w:color w:val="404040"/>
          <w:spacing w:val="0"/>
          <w:kern w:val="0"/>
          <w:sz w:val="32"/>
          <w:szCs w:val="32"/>
          <w:bdr w:val="none" w:color="auto" w:sz="0" w:space="0"/>
          <w:shd w:val="clear" w:fill="FAFAFA"/>
          <w:lang w:val="en-US" w:eastAsia="zh-CN" w:bidi="ar"/>
        </w:rPr>
        <w:t>（三）法院裁定批准重整计划或认可和解协议，根据重整计划或和解协议核销的债权，在重整计划或和解协议执行完毕后，仍无法收回的债权。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40"/>
        <w:jc w:val="left"/>
        <w:rPr>
          <w:rFonts w:hint="eastAsia" w:ascii="宋体" w:hAnsi="宋体" w:eastAsia="宋体" w:cs="宋体"/>
          <w:i w:val="0"/>
          <w:iCs w:val="0"/>
          <w:caps w:val="0"/>
          <w:color w:val="404040"/>
          <w:spacing w:val="0"/>
          <w:sz w:val="27"/>
          <w:szCs w:val="27"/>
        </w:rPr>
      </w:pPr>
      <w:r>
        <w:rPr>
          <w:rFonts w:hint="eastAsia" w:ascii="仿宋_GB2312" w:hAnsi="宋体" w:eastAsia="仿宋_GB2312" w:cs="仿宋_GB2312"/>
          <w:i w:val="0"/>
          <w:iCs w:val="0"/>
          <w:caps w:val="0"/>
          <w:color w:val="404040"/>
          <w:spacing w:val="0"/>
          <w:kern w:val="0"/>
          <w:sz w:val="32"/>
          <w:szCs w:val="32"/>
          <w:bdr w:val="none" w:color="auto" w:sz="0" w:space="0"/>
          <w:shd w:val="clear" w:fill="FAFAFA"/>
          <w:lang w:val="en-US" w:eastAsia="zh-CN" w:bidi="ar"/>
        </w:rPr>
        <w:t>（四）自法院裁定破产案件终结之日起超过2年的债权。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64"/>
        <w:jc w:val="left"/>
        <w:rPr>
          <w:rFonts w:hint="eastAsia" w:ascii="宋体" w:hAnsi="宋体" w:eastAsia="宋体" w:cs="宋体"/>
          <w:i w:val="0"/>
          <w:iCs w:val="0"/>
          <w:caps w:val="0"/>
          <w:color w:val="404040"/>
          <w:spacing w:val="0"/>
          <w:sz w:val="27"/>
          <w:szCs w:val="27"/>
        </w:rPr>
      </w:pPr>
      <w:r>
        <w:rPr>
          <w:rFonts w:hint="eastAsia" w:ascii="仿宋_GB2312" w:hAnsi="宋体" w:eastAsia="仿宋_GB2312" w:cs="仿宋_GB2312"/>
          <w:i w:val="0"/>
          <w:iCs w:val="0"/>
          <w:caps w:val="0"/>
          <w:color w:val="404040"/>
          <w:spacing w:val="6"/>
          <w:kern w:val="0"/>
          <w:sz w:val="32"/>
          <w:szCs w:val="32"/>
          <w:bdr w:val="none" w:color="auto" w:sz="0" w:space="0"/>
          <w:shd w:val="clear" w:fill="FAFAFA"/>
          <w:lang w:val="en-US" w:eastAsia="zh-CN" w:bidi="ar"/>
        </w:rPr>
        <w:t>（五）</w:t>
      </w:r>
      <w:r>
        <w:rPr>
          <w:rFonts w:hint="eastAsia" w:ascii="仿宋_GB2312" w:hAnsi="宋体" w:eastAsia="仿宋_GB2312" w:cs="仿宋_GB2312"/>
          <w:i w:val="0"/>
          <w:iCs w:val="0"/>
          <w:caps w:val="0"/>
          <w:color w:val="404040"/>
          <w:spacing w:val="0"/>
          <w:kern w:val="0"/>
          <w:sz w:val="32"/>
          <w:szCs w:val="32"/>
          <w:bdr w:val="none" w:color="auto" w:sz="0" w:space="0"/>
          <w:shd w:val="clear" w:fill="FAFAFA"/>
          <w:lang w:val="en-US" w:eastAsia="zh-CN" w:bidi="ar"/>
        </w:rPr>
        <w:t>其他因责任人和相关责任人死亡、重大自然灾害造成的符合核销认定条件，经</w:t>
      </w:r>
      <w:r>
        <w:rPr>
          <w:rFonts w:hint="eastAsia" w:ascii="仿宋" w:hAnsi="仿宋" w:eastAsia="仿宋" w:cs="仿宋"/>
          <w:i w:val="0"/>
          <w:iCs w:val="0"/>
          <w:caps w:val="0"/>
          <w:color w:val="404040"/>
          <w:spacing w:val="6"/>
          <w:kern w:val="0"/>
          <w:sz w:val="32"/>
          <w:szCs w:val="32"/>
          <w:bdr w:val="none" w:color="auto" w:sz="0" w:space="0"/>
          <w:shd w:val="clear" w:fill="FAFAFA"/>
          <w:lang w:val="en-US" w:eastAsia="zh-CN" w:bidi="ar"/>
        </w:rPr>
        <w:t>履行相关程序</w:t>
      </w:r>
      <w:r>
        <w:rPr>
          <w:rFonts w:hint="eastAsia" w:ascii="仿宋_GB2312" w:hAnsi="宋体" w:eastAsia="仿宋_GB2312" w:cs="仿宋_GB2312"/>
          <w:i w:val="0"/>
          <w:iCs w:val="0"/>
          <w:caps w:val="0"/>
          <w:color w:val="404040"/>
          <w:spacing w:val="0"/>
          <w:kern w:val="0"/>
          <w:sz w:val="32"/>
          <w:szCs w:val="32"/>
          <w:bdr w:val="none" w:color="auto" w:sz="0" w:space="0"/>
          <w:shd w:val="clear" w:fill="FAFAFA"/>
          <w:lang w:val="en-US" w:eastAsia="zh-CN" w:bidi="ar"/>
        </w:rPr>
        <w:t>的代偿项目。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64"/>
        <w:jc w:val="left"/>
        <w:rPr>
          <w:rFonts w:hint="eastAsia" w:ascii="宋体" w:hAnsi="宋体" w:eastAsia="宋体" w:cs="宋体"/>
          <w:i w:val="0"/>
          <w:iCs w:val="0"/>
          <w:caps w:val="0"/>
          <w:color w:val="404040"/>
          <w:spacing w:val="0"/>
          <w:sz w:val="27"/>
          <w:szCs w:val="27"/>
        </w:rPr>
      </w:pPr>
      <w:r>
        <w:rPr>
          <w:rFonts w:hint="eastAsia" w:ascii="楷体" w:hAnsi="楷体" w:eastAsia="楷体" w:cs="楷体"/>
          <w:i w:val="0"/>
          <w:iCs w:val="0"/>
          <w:caps w:val="0"/>
          <w:color w:val="404040"/>
          <w:spacing w:val="6"/>
          <w:kern w:val="0"/>
          <w:sz w:val="32"/>
          <w:szCs w:val="32"/>
          <w:bdr w:val="none" w:color="auto" w:sz="0" w:space="0"/>
          <w:shd w:val="clear" w:fill="FAFAFA"/>
          <w:lang w:val="en-US" w:eastAsia="zh-CN" w:bidi="ar"/>
        </w:rPr>
        <w:t>第十三条 </w:t>
      </w:r>
      <w:r>
        <w:rPr>
          <w:rFonts w:hint="eastAsia" w:ascii="仿宋_GB2312" w:hAnsi="宋体" w:eastAsia="仿宋_GB2312" w:cs="仿宋_GB2312"/>
          <w:i w:val="0"/>
          <w:iCs w:val="0"/>
          <w:caps w:val="0"/>
          <w:color w:val="404040"/>
          <w:spacing w:val="6"/>
          <w:kern w:val="0"/>
          <w:sz w:val="32"/>
          <w:szCs w:val="32"/>
          <w:bdr w:val="none" w:color="auto" w:sz="0" w:space="0"/>
          <w:shd w:val="clear" w:fill="FAFAFA"/>
          <w:lang w:val="en-US" w:eastAsia="zh-CN" w:bidi="ar"/>
        </w:rPr>
        <w:t>各级</w:t>
      </w:r>
      <w:r>
        <w:rPr>
          <w:rFonts w:hint="eastAsia" w:ascii="仿宋_GB2312" w:hAnsi="宋体" w:eastAsia="仿宋_GB2312" w:cs="仿宋_GB2312"/>
          <w:i w:val="0"/>
          <w:iCs w:val="0"/>
          <w:caps w:val="0"/>
          <w:color w:val="404040"/>
          <w:spacing w:val="0"/>
          <w:kern w:val="0"/>
          <w:sz w:val="32"/>
          <w:szCs w:val="32"/>
          <w:bdr w:val="none" w:color="auto" w:sz="0" w:space="0"/>
          <w:shd w:val="clear" w:fill="FAFAFA"/>
          <w:lang w:val="en-US" w:eastAsia="zh-CN" w:bidi="ar"/>
        </w:rPr>
        <w:t>融资（再）担保机构对已核销的代偿损失作“账销案存”处理，建立代偿损失核销台账和进行表外登记，单独设立账户管理和核算，并按档案管理有关规定加强代偿损失核销档案管理，有关情况不得向被担保人和反担保人披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40"/>
        <w:jc w:val="left"/>
        <w:rPr>
          <w:rFonts w:hint="eastAsia" w:ascii="宋体" w:hAnsi="宋体" w:eastAsia="宋体" w:cs="宋体"/>
          <w:i w:val="0"/>
          <w:iCs w:val="0"/>
          <w:caps w:val="0"/>
          <w:color w:val="404040"/>
          <w:spacing w:val="0"/>
          <w:sz w:val="27"/>
          <w:szCs w:val="27"/>
        </w:rPr>
      </w:pPr>
      <w:r>
        <w:rPr>
          <w:rFonts w:hint="eastAsia" w:ascii="仿宋_GB2312" w:hAnsi="宋体" w:eastAsia="仿宋_GB2312" w:cs="仿宋_GB2312"/>
          <w:i w:val="0"/>
          <w:iCs w:val="0"/>
          <w:caps w:val="0"/>
          <w:color w:val="404040"/>
          <w:spacing w:val="0"/>
          <w:kern w:val="0"/>
          <w:sz w:val="32"/>
          <w:szCs w:val="32"/>
          <w:bdr w:val="none" w:color="auto" w:sz="0" w:space="0"/>
          <w:shd w:val="clear" w:fill="FAFAFA"/>
          <w:lang w:val="en-US" w:eastAsia="zh-CN" w:bidi="ar"/>
        </w:rPr>
        <w:t>除有关法律、法规及其他文件规定或司法、监管等机构要求外，任何单位和个人不得对外披露代偿损失核销安排和实际核销情况。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40"/>
        <w:jc w:val="left"/>
        <w:rPr>
          <w:rFonts w:hint="eastAsia" w:ascii="宋体" w:hAnsi="宋体" w:eastAsia="宋体" w:cs="宋体"/>
          <w:i w:val="0"/>
          <w:iCs w:val="0"/>
          <w:caps w:val="0"/>
          <w:color w:val="404040"/>
          <w:spacing w:val="0"/>
          <w:sz w:val="27"/>
          <w:szCs w:val="27"/>
        </w:rPr>
      </w:pPr>
      <w:r>
        <w:rPr>
          <w:rFonts w:hint="eastAsia" w:ascii="仿宋_GB2312" w:hAnsi="宋体" w:eastAsia="仿宋_GB2312" w:cs="仿宋_GB2312"/>
          <w:i w:val="0"/>
          <w:iCs w:val="0"/>
          <w:caps w:val="0"/>
          <w:color w:val="404040"/>
          <w:spacing w:val="0"/>
          <w:kern w:val="0"/>
          <w:sz w:val="32"/>
          <w:szCs w:val="32"/>
          <w:bdr w:val="none" w:color="auto" w:sz="0" w:space="0"/>
          <w:shd w:val="clear" w:fill="FAFAFA"/>
          <w:lang w:val="en-US" w:eastAsia="zh-CN" w:bidi="ar"/>
        </w:rPr>
        <w:t>融资（再）担保机构实际代偿损失核销金额按有关规定对外披露。监管部门及其工作人员须保守融资（再）担保机构商业秘密。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0"/>
        <w:jc w:val="center"/>
        <w:rPr>
          <w:rFonts w:hint="eastAsia" w:ascii="宋体" w:hAnsi="宋体" w:eastAsia="宋体" w:cs="宋体"/>
          <w:i w:val="0"/>
          <w:iCs w:val="0"/>
          <w:caps w:val="0"/>
          <w:color w:val="404040"/>
          <w:spacing w:val="0"/>
          <w:sz w:val="27"/>
          <w:szCs w:val="27"/>
        </w:rPr>
      </w:pPr>
      <w:r>
        <w:rPr>
          <w:rFonts w:hint="eastAsia" w:ascii="黑体" w:hAnsi="宋体" w:eastAsia="黑体" w:cs="黑体"/>
          <w:i w:val="0"/>
          <w:iCs w:val="0"/>
          <w:caps w:val="0"/>
          <w:color w:val="404040"/>
          <w:spacing w:val="6"/>
          <w:kern w:val="0"/>
          <w:sz w:val="32"/>
          <w:szCs w:val="32"/>
          <w:bdr w:val="none" w:color="auto" w:sz="0" w:space="0"/>
          <w:shd w:val="clear" w:fill="FAFAFA"/>
          <w:lang w:val="en-US" w:eastAsia="zh-CN" w:bidi="ar"/>
        </w:rPr>
        <w:t>第五章  监督管理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40"/>
        <w:jc w:val="left"/>
        <w:rPr>
          <w:rFonts w:hint="eastAsia" w:ascii="宋体" w:hAnsi="宋体" w:eastAsia="宋体" w:cs="宋体"/>
          <w:i w:val="0"/>
          <w:iCs w:val="0"/>
          <w:caps w:val="0"/>
          <w:color w:val="404040"/>
          <w:spacing w:val="0"/>
          <w:sz w:val="27"/>
          <w:szCs w:val="27"/>
        </w:rPr>
      </w:pPr>
      <w:r>
        <w:rPr>
          <w:rFonts w:hint="default" w:ascii="楷体_GB2312" w:hAnsi="宋体" w:eastAsia="楷体_GB2312" w:cs="楷体_GB2312"/>
          <w:i w:val="0"/>
          <w:iCs w:val="0"/>
          <w:caps w:val="0"/>
          <w:color w:val="404040"/>
          <w:spacing w:val="0"/>
          <w:kern w:val="0"/>
          <w:sz w:val="32"/>
          <w:szCs w:val="32"/>
          <w:bdr w:val="none" w:color="auto" w:sz="0" w:space="0"/>
          <w:shd w:val="clear" w:fill="FAFAFA"/>
          <w:lang w:val="en-US" w:eastAsia="zh-CN" w:bidi="ar"/>
        </w:rPr>
        <w:t>第十四条 </w:t>
      </w:r>
      <w:r>
        <w:rPr>
          <w:rFonts w:hint="eastAsia" w:ascii="仿宋_GB2312" w:hAnsi="宋体" w:eastAsia="仿宋_GB2312" w:cs="仿宋_GB2312"/>
          <w:i w:val="0"/>
          <w:iCs w:val="0"/>
          <w:caps w:val="0"/>
          <w:color w:val="404040"/>
          <w:spacing w:val="0"/>
          <w:kern w:val="0"/>
          <w:sz w:val="32"/>
          <w:szCs w:val="32"/>
          <w:bdr w:val="none" w:color="auto" w:sz="0" w:space="0"/>
          <w:shd w:val="clear" w:fill="FAFAFA"/>
          <w:lang w:val="en-US" w:eastAsia="zh-CN" w:bidi="ar"/>
        </w:rPr>
        <w:t>各级融资（再）担保机构出资人管理部门（机构）应当对核销后的代偿损失以及应当核销而未核销的代偿损失进行检查，发现问题及时纠正，并按照有关规定进行处理和处罚。各级融资（再）担保机构应主动接受出资人管理部门（机构）监管，及时总结经验教训，提出改进措施，提高代偿损失核销工作质量，并有效保全资产，切实提高资产质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40"/>
        <w:jc w:val="left"/>
        <w:rPr>
          <w:rFonts w:hint="eastAsia" w:ascii="宋体" w:hAnsi="宋体" w:eastAsia="宋体" w:cs="宋体"/>
          <w:i w:val="0"/>
          <w:iCs w:val="0"/>
          <w:caps w:val="0"/>
          <w:color w:val="404040"/>
          <w:spacing w:val="0"/>
          <w:sz w:val="27"/>
          <w:szCs w:val="27"/>
        </w:rPr>
      </w:pPr>
      <w:r>
        <w:rPr>
          <w:rFonts w:hint="default" w:ascii="楷体_GB2312" w:hAnsi="宋体" w:eastAsia="楷体_GB2312" w:cs="楷体_GB2312"/>
          <w:i w:val="0"/>
          <w:iCs w:val="0"/>
          <w:caps w:val="0"/>
          <w:color w:val="404040"/>
          <w:spacing w:val="0"/>
          <w:kern w:val="0"/>
          <w:sz w:val="32"/>
          <w:szCs w:val="32"/>
          <w:bdr w:val="none" w:color="auto" w:sz="0" w:space="0"/>
          <w:shd w:val="clear" w:fill="FAFAFA"/>
          <w:lang w:val="en-US" w:eastAsia="zh-CN" w:bidi="ar"/>
        </w:rPr>
        <w:t>第十五条 </w:t>
      </w:r>
      <w:r>
        <w:rPr>
          <w:rFonts w:hint="eastAsia" w:ascii="仿宋_GB2312" w:hAnsi="宋体" w:eastAsia="仿宋_GB2312" w:cs="仿宋_GB2312"/>
          <w:i w:val="0"/>
          <w:iCs w:val="0"/>
          <w:caps w:val="0"/>
          <w:color w:val="404040"/>
          <w:spacing w:val="0"/>
          <w:kern w:val="0"/>
          <w:sz w:val="32"/>
          <w:szCs w:val="32"/>
          <w:bdr w:val="none" w:color="auto" w:sz="0" w:space="0"/>
          <w:shd w:val="clear" w:fill="FAFAFA"/>
          <w:lang w:val="en-US" w:eastAsia="zh-CN" w:bidi="ar"/>
        </w:rPr>
        <w:t>各级融资（再）担保机构应根据代偿损失核销责任追究及免责管理办法，查明每一笔代偿损失形成的原因，对应予以追责情形要严格落实追责机制，涉嫌违法犯罪的，移交司法机关处理。对符合免责的情形，应当对相关责任人予以免责。对由于机制不健全、产品设计有缺陷的情形应及时完善相关工作机制，修订相关产品设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40"/>
        <w:jc w:val="left"/>
        <w:rPr>
          <w:rFonts w:hint="eastAsia" w:ascii="宋体" w:hAnsi="宋体" w:eastAsia="宋体" w:cs="宋体"/>
          <w:i w:val="0"/>
          <w:iCs w:val="0"/>
          <w:caps w:val="0"/>
          <w:color w:val="404040"/>
          <w:spacing w:val="0"/>
          <w:sz w:val="27"/>
          <w:szCs w:val="27"/>
        </w:rPr>
      </w:pPr>
      <w:r>
        <w:rPr>
          <w:rFonts w:hint="eastAsia" w:ascii="仿宋_GB2312" w:hAnsi="宋体" w:eastAsia="仿宋_GB2312" w:cs="仿宋_GB2312"/>
          <w:i w:val="0"/>
          <w:iCs w:val="0"/>
          <w:caps w:val="0"/>
          <w:color w:val="404040"/>
          <w:spacing w:val="0"/>
          <w:kern w:val="0"/>
          <w:sz w:val="32"/>
          <w:szCs w:val="32"/>
          <w:bdr w:val="none" w:color="auto" w:sz="0" w:space="0"/>
          <w:shd w:val="clear" w:fill="FAFAFA"/>
          <w:lang w:val="en-US" w:eastAsia="zh-CN" w:bidi="ar"/>
        </w:rPr>
        <w:t>融资（再）担保机构应建立代偿损失责任认定和追究制度。对代偿损失的证据存在故意或重大过失，或者弄虚作假向审核或审批单位申报核销的，应当追究有关责任人的责任。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40"/>
        <w:jc w:val="left"/>
        <w:rPr>
          <w:rFonts w:hint="eastAsia" w:ascii="宋体" w:hAnsi="宋体" w:eastAsia="宋体" w:cs="宋体"/>
          <w:i w:val="0"/>
          <w:iCs w:val="0"/>
          <w:caps w:val="0"/>
          <w:color w:val="404040"/>
          <w:spacing w:val="0"/>
          <w:sz w:val="27"/>
          <w:szCs w:val="27"/>
        </w:rPr>
      </w:pPr>
      <w:r>
        <w:rPr>
          <w:rFonts w:hint="eastAsia" w:ascii="仿宋_GB2312" w:hAnsi="宋体" w:eastAsia="仿宋_GB2312" w:cs="仿宋_GB2312"/>
          <w:i w:val="0"/>
          <w:iCs w:val="0"/>
          <w:caps w:val="0"/>
          <w:color w:val="404040"/>
          <w:spacing w:val="0"/>
          <w:kern w:val="0"/>
          <w:sz w:val="32"/>
          <w:szCs w:val="32"/>
          <w:bdr w:val="none" w:color="auto" w:sz="0" w:space="0"/>
          <w:shd w:val="clear" w:fill="FAFAFA"/>
          <w:lang w:val="en-US" w:eastAsia="zh-CN" w:bidi="ar"/>
        </w:rPr>
        <w:t>对形成损失的，应当区分主观客观原因，确系主观原因形成损失的，应当在呆账核销后2年内完成责任认定和对责任人的追究工作。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40"/>
        <w:jc w:val="left"/>
        <w:rPr>
          <w:rFonts w:hint="eastAsia" w:ascii="宋体" w:hAnsi="宋体" w:eastAsia="宋体" w:cs="宋体"/>
          <w:i w:val="0"/>
          <w:iCs w:val="0"/>
          <w:caps w:val="0"/>
          <w:color w:val="404040"/>
          <w:spacing w:val="0"/>
          <w:sz w:val="27"/>
          <w:szCs w:val="27"/>
        </w:rPr>
      </w:pPr>
      <w:r>
        <w:rPr>
          <w:rFonts w:hint="eastAsia" w:ascii="仿宋_GB2312" w:hAnsi="宋体" w:eastAsia="仿宋_GB2312" w:cs="仿宋_GB2312"/>
          <w:i w:val="0"/>
          <w:iCs w:val="0"/>
          <w:caps w:val="0"/>
          <w:color w:val="404040"/>
          <w:spacing w:val="0"/>
          <w:kern w:val="0"/>
          <w:sz w:val="32"/>
          <w:szCs w:val="32"/>
          <w:bdr w:val="none" w:color="auto" w:sz="0" w:space="0"/>
          <w:shd w:val="clear" w:fill="FAFAFA"/>
          <w:lang w:val="en-US" w:eastAsia="zh-CN" w:bidi="ar"/>
        </w:rPr>
        <w:t>对应当核销的代偿损失，由于有关经办人、部门负责人和单位负责人的责任原因而不核销、隐瞒不报、长期挂账的，应对有关责任人进行处理或者处罚。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40"/>
        <w:jc w:val="left"/>
        <w:rPr>
          <w:rFonts w:hint="eastAsia" w:ascii="宋体" w:hAnsi="宋体" w:eastAsia="宋体" w:cs="宋体"/>
          <w:i w:val="0"/>
          <w:iCs w:val="0"/>
          <w:caps w:val="0"/>
          <w:color w:val="404040"/>
          <w:spacing w:val="0"/>
          <w:sz w:val="27"/>
          <w:szCs w:val="27"/>
        </w:rPr>
      </w:pPr>
      <w:r>
        <w:rPr>
          <w:rFonts w:hint="default" w:ascii="楷体_GB2312" w:hAnsi="宋体" w:eastAsia="楷体_GB2312" w:cs="楷体_GB2312"/>
          <w:i w:val="0"/>
          <w:iCs w:val="0"/>
          <w:caps w:val="0"/>
          <w:color w:val="404040"/>
          <w:spacing w:val="0"/>
          <w:kern w:val="0"/>
          <w:sz w:val="32"/>
          <w:szCs w:val="32"/>
          <w:bdr w:val="none" w:color="auto" w:sz="0" w:space="0"/>
          <w:shd w:val="clear" w:fill="FAFAFA"/>
          <w:lang w:val="en-US" w:eastAsia="zh-CN" w:bidi="ar"/>
        </w:rPr>
        <w:t>第十六条 </w:t>
      </w:r>
      <w:r>
        <w:rPr>
          <w:rFonts w:hint="eastAsia" w:ascii="仿宋_GB2312" w:hAnsi="宋体" w:eastAsia="仿宋_GB2312" w:cs="仿宋_GB2312"/>
          <w:i w:val="0"/>
          <w:iCs w:val="0"/>
          <w:caps w:val="0"/>
          <w:color w:val="404040"/>
          <w:spacing w:val="0"/>
          <w:kern w:val="0"/>
          <w:sz w:val="32"/>
          <w:szCs w:val="32"/>
          <w:bdr w:val="none" w:color="auto" w:sz="0" w:space="0"/>
          <w:shd w:val="clear" w:fill="FAFAFA"/>
          <w:lang w:val="en-US" w:eastAsia="zh-CN" w:bidi="ar"/>
        </w:rPr>
        <w:t>各级财政部门和地方金融监管部门负责对同级融资（再）担保机构代偿损失核销的事后监管。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40"/>
        <w:jc w:val="left"/>
        <w:rPr>
          <w:rFonts w:hint="eastAsia" w:ascii="宋体" w:hAnsi="宋体" w:eastAsia="宋体" w:cs="宋体"/>
          <w:i w:val="0"/>
          <w:iCs w:val="0"/>
          <w:caps w:val="0"/>
          <w:color w:val="404040"/>
          <w:spacing w:val="0"/>
          <w:sz w:val="27"/>
          <w:szCs w:val="27"/>
        </w:rPr>
      </w:pPr>
      <w:r>
        <w:rPr>
          <w:rFonts w:hint="eastAsia" w:ascii="仿宋_GB2312" w:hAnsi="宋体" w:eastAsia="仿宋_GB2312" w:cs="仿宋_GB2312"/>
          <w:i w:val="0"/>
          <w:iCs w:val="0"/>
          <w:caps w:val="0"/>
          <w:color w:val="404040"/>
          <w:spacing w:val="0"/>
          <w:kern w:val="0"/>
          <w:sz w:val="32"/>
          <w:szCs w:val="32"/>
          <w:bdr w:val="none" w:color="auto" w:sz="0" w:space="0"/>
          <w:shd w:val="clear" w:fill="FAFAFA"/>
          <w:lang w:val="en-US" w:eastAsia="zh-CN" w:bidi="ar"/>
        </w:rPr>
        <w:t>财政部门应督促同级融资（再）担保机构按照行业财务制度足额提取风险拨备，将是否足额提取风险拨备以及是否及时开展代偿损失核销纳入年度专项审计或绩效评价的重要内容。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40"/>
        <w:jc w:val="left"/>
        <w:rPr>
          <w:rFonts w:hint="eastAsia" w:ascii="宋体" w:hAnsi="宋体" w:eastAsia="宋体" w:cs="宋体"/>
          <w:i w:val="0"/>
          <w:iCs w:val="0"/>
          <w:caps w:val="0"/>
          <w:color w:val="404040"/>
          <w:spacing w:val="0"/>
          <w:sz w:val="27"/>
          <w:szCs w:val="27"/>
        </w:rPr>
      </w:pPr>
      <w:r>
        <w:rPr>
          <w:rFonts w:hint="default" w:ascii="楷体_GB2312" w:hAnsi="宋体" w:eastAsia="楷体_GB2312" w:cs="楷体_GB2312"/>
          <w:i w:val="0"/>
          <w:iCs w:val="0"/>
          <w:caps w:val="0"/>
          <w:color w:val="404040"/>
          <w:spacing w:val="0"/>
          <w:kern w:val="0"/>
          <w:sz w:val="32"/>
          <w:szCs w:val="32"/>
          <w:bdr w:val="none" w:color="auto" w:sz="0" w:space="0"/>
          <w:shd w:val="clear" w:fill="FAFAFA"/>
          <w:lang w:val="en-US" w:eastAsia="zh-CN" w:bidi="ar"/>
        </w:rPr>
        <w:t>第十七条 </w:t>
      </w:r>
      <w:r>
        <w:rPr>
          <w:rFonts w:hint="eastAsia" w:ascii="仿宋_GB2312" w:hAnsi="宋体" w:eastAsia="仿宋_GB2312" w:cs="仿宋_GB2312"/>
          <w:i w:val="0"/>
          <w:iCs w:val="0"/>
          <w:caps w:val="0"/>
          <w:color w:val="404040"/>
          <w:spacing w:val="0"/>
          <w:kern w:val="0"/>
          <w:sz w:val="32"/>
          <w:szCs w:val="32"/>
          <w:bdr w:val="none" w:color="auto" w:sz="0" w:space="0"/>
          <w:shd w:val="clear" w:fill="FAFAFA"/>
          <w:lang w:val="en-US" w:eastAsia="zh-CN" w:bidi="ar"/>
        </w:rPr>
        <w:t>各级财政部门和行业监管部门对不符合规定条件、没有确凿证据证明和弄虚作假核销代偿损失，以及应当核销代偿损失而不核销、隐瞒不报、长期挂账等不符合本办法规定的，应当及时进行制止和纠正。融资（再）担保机构存在应当核销代偿损失而不核销、隐瞒不报、长期挂账等行为，且经督办整改不到位、不及时等情节严重的，应从政府性融资担保机构名单中剔除，取消其享受财政支持政策的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0"/>
        <w:jc w:val="center"/>
        <w:rPr>
          <w:rFonts w:hint="eastAsia" w:ascii="宋体" w:hAnsi="宋体" w:eastAsia="宋体" w:cs="宋体"/>
          <w:i w:val="0"/>
          <w:iCs w:val="0"/>
          <w:caps w:val="0"/>
          <w:color w:val="404040"/>
          <w:spacing w:val="0"/>
          <w:sz w:val="27"/>
          <w:szCs w:val="27"/>
        </w:rPr>
      </w:pPr>
      <w:r>
        <w:rPr>
          <w:rFonts w:hint="eastAsia" w:ascii="黑体" w:hAnsi="宋体" w:eastAsia="黑体" w:cs="黑体"/>
          <w:i w:val="0"/>
          <w:iCs w:val="0"/>
          <w:caps w:val="0"/>
          <w:color w:val="404040"/>
          <w:spacing w:val="6"/>
          <w:kern w:val="0"/>
          <w:sz w:val="32"/>
          <w:szCs w:val="32"/>
          <w:bdr w:val="none" w:color="auto" w:sz="0" w:space="0"/>
          <w:shd w:val="clear" w:fill="FAFAFA"/>
          <w:lang w:val="en-US" w:eastAsia="zh-CN" w:bidi="ar"/>
        </w:rPr>
        <w:t>第六章 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40"/>
        <w:jc w:val="left"/>
        <w:rPr>
          <w:rFonts w:hint="eastAsia" w:ascii="宋体" w:hAnsi="宋体" w:eastAsia="宋体" w:cs="宋体"/>
          <w:i w:val="0"/>
          <w:iCs w:val="0"/>
          <w:caps w:val="0"/>
          <w:color w:val="404040"/>
          <w:spacing w:val="0"/>
          <w:sz w:val="27"/>
          <w:szCs w:val="27"/>
        </w:rPr>
      </w:pPr>
      <w:r>
        <w:rPr>
          <w:rFonts w:hint="default" w:ascii="楷体_GB2312" w:hAnsi="宋体" w:eastAsia="楷体_GB2312" w:cs="楷体_GB2312"/>
          <w:i w:val="0"/>
          <w:iCs w:val="0"/>
          <w:caps w:val="0"/>
          <w:color w:val="404040"/>
          <w:spacing w:val="0"/>
          <w:kern w:val="0"/>
          <w:sz w:val="32"/>
          <w:szCs w:val="32"/>
          <w:bdr w:val="none" w:color="auto" w:sz="0" w:space="0"/>
          <w:shd w:val="clear" w:fill="FAFAFA"/>
          <w:lang w:val="en-US" w:eastAsia="zh-CN" w:bidi="ar"/>
        </w:rPr>
        <w:t>第十八条 </w:t>
      </w:r>
      <w:r>
        <w:rPr>
          <w:rFonts w:hint="eastAsia" w:ascii="仿宋_GB2312" w:hAnsi="宋体" w:eastAsia="仿宋_GB2312" w:cs="仿宋_GB2312"/>
          <w:i w:val="0"/>
          <w:iCs w:val="0"/>
          <w:caps w:val="0"/>
          <w:color w:val="404040"/>
          <w:spacing w:val="0"/>
          <w:kern w:val="0"/>
          <w:sz w:val="32"/>
          <w:szCs w:val="32"/>
          <w:bdr w:val="none" w:color="auto" w:sz="0" w:space="0"/>
          <w:shd w:val="clear" w:fill="FAFAFA"/>
          <w:lang w:val="en-US" w:eastAsia="zh-CN" w:bidi="ar"/>
        </w:rPr>
        <w:t>本工作指引中所称核销是指融资（再）担保机构按照《金融企业财务规则》、《金融企业呆账核销管理办法》以及相关会计制度的规定，将认定的代偿损失冲销已计提的资产减值准备、担保赔偿准备金或直接调整损益，冲减至资产负债表外的账务处理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40"/>
        <w:jc w:val="left"/>
        <w:rPr>
          <w:rFonts w:hint="eastAsia" w:ascii="宋体" w:hAnsi="宋体" w:eastAsia="宋体" w:cs="宋体"/>
          <w:i w:val="0"/>
          <w:iCs w:val="0"/>
          <w:caps w:val="0"/>
          <w:color w:val="404040"/>
          <w:spacing w:val="0"/>
          <w:sz w:val="27"/>
          <w:szCs w:val="27"/>
        </w:rPr>
      </w:pPr>
      <w:r>
        <w:rPr>
          <w:rFonts w:hint="default" w:ascii="楷体_GB2312" w:hAnsi="宋体" w:eastAsia="楷体_GB2312" w:cs="楷体_GB2312"/>
          <w:i w:val="0"/>
          <w:iCs w:val="0"/>
          <w:caps w:val="0"/>
          <w:color w:val="404040"/>
          <w:spacing w:val="0"/>
          <w:sz w:val="32"/>
          <w:szCs w:val="32"/>
          <w:bdr w:val="none" w:color="auto" w:sz="0" w:space="0"/>
          <w:shd w:val="clear" w:fill="FAFAFA"/>
        </w:rPr>
        <w:t>第十九条 </w:t>
      </w:r>
      <w:r>
        <w:rPr>
          <w:rFonts w:hint="eastAsia" w:ascii="仿宋_GB2312" w:hAnsi="宋体" w:eastAsia="仿宋_GB2312" w:cs="仿宋_GB2312"/>
          <w:i w:val="0"/>
          <w:iCs w:val="0"/>
          <w:caps w:val="0"/>
          <w:color w:val="404040"/>
          <w:spacing w:val="0"/>
          <w:sz w:val="32"/>
          <w:szCs w:val="32"/>
          <w:bdr w:val="none" w:color="auto" w:sz="0" w:space="0"/>
          <w:shd w:val="clear" w:fill="FAFAFA"/>
        </w:rPr>
        <w:t>本工作指引中所称代偿资产，特指融资（再）担保机构按照政策要求为符合条件的小微、“三农”等市场主体提供融资性担保后，在债务到期时，小微、“三农”等市场主体未能按约定清偿债务，融资（再）担保机构按照融资（再）担保保证合同约定代为履行债务后形成的担保代偿债权。小微企业、“三农”主体认定按照国家相关认定标准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40"/>
        <w:jc w:val="left"/>
        <w:rPr>
          <w:rFonts w:hint="eastAsia" w:ascii="宋体" w:hAnsi="宋体" w:eastAsia="宋体" w:cs="宋体"/>
          <w:i w:val="0"/>
          <w:iCs w:val="0"/>
          <w:caps w:val="0"/>
          <w:color w:val="404040"/>
          <w:spacing w:val="0"/>
          <w:sz w:val="27"/>
          <w:szCs w:val="27"/>
        </w:rPr>
      </w:pPr>
      <w:r>
        <w:rPr>
          <w:rFonts w:hint="default" w:ascii="楷体_GB2312" w:hAnsi="宋体" w:eastAsia="楷体_GB2312" w:cs="楷体_GB2312"/>
          <w:i w:val="0"/>
          <w:iCs w:val="0"/>
          <w:caps w:val="0"/>
          <w:color w:val="404040"/>
          <w:spacing w:val="0"/>
          <w:kern w:val="0"/>
          <w:sz w:val="32"/>
          <w:szCs w:val="32"/>
          <w:bdr w:val="none" w:color="auto" w:sz="0" w:space="0"/>
          <w:shd w:val="clear" w:fill="FAFAFA"/>
          <w:lang w:val="en-US" w:eastAsia="zh-CN" w:bidi="ar"/>
        </w:rPr>
        <w:t>第二十条 </w:t>
      </w:r>
      <w:r>
        <w:rPr>
          <w:rFonts w:hint="eastAsia" w:ascii="仿宋_GB2312" w:hAnsi="宋体" w:eastAsia="仿宋_GB2312" w:cs="仿宋_GB2312"/>
          <w:i w:val="0"/>
          <w:iCs w:val="0"/>
          <w:caps w:val="0"/>
          <w:color w:val="404040"/>
          <w:spacing w:val="0"/>
          <w:kern w:val="0"/>
          <w:sz w:val="32"/>
          <w:szCs w:val="32"/>
          <w:bdr w:val="none" w:color="auto" w:sz="0" w:space="0"/>
          <w:shd w:val="clear" w:fill="FAFAFA"/>
          <w:lang w:val="en-US" w:eastAsia="zh-CN" w:bidi="ar"/>
        </w:rPr>
        <w:t>本工作指引中所称代偿损失，是指符合融资（再）担保机构制定的代偿核销管理制度规定的认定条件，按照规定程序予以核销的实际支出的赔付损失，即代偿损失=（代偿本息（含罚息）+追偿支出）-追偿收入。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40"/>
        <w:jc w:val="left"/>
        <w:rPr>
          <w:rFonts w:hint="eastAsia" w:ascii="宋体" w:hAnsi="宋体" w:eastAsia="宋体" w:cs="宋体"/>
          <w:i w:val="0"/>
          <w:iCs w:val="0"/>
          <w:caps w:val="0"/>
          <w:color w:val="404040"/>
          <w:spacing w:val="0"/>
          <w:sz w:val="27"/>
          <w:szCs w:val="27"/>
        </w:rPr>
      </w:pPr>
      <w:r>
        <w:rPr>
          <w:rFonts w:hint="default" w:ascii="楷体_GB2312" w:hAnsi="宋体" w:eastAsia="楷体_GB2312" w:cs="楷体_GB2312"/>
          <w:i w:val="0"/>
          <w:iCs w:val="0"/>
          <w:caps w:val="0"/>
          <w:color w:val="404040"/>
          <w:spacing w:val="0"/>
          <w:kern w:val="0"/>
          <w:sz w:val="32"/>
          <w:szCs w:val="32"/>
          <w:bdr w:val="none" w:color="auto" w:sz="0" w:space="0"/>
          <w:shd w:val="clear" w:fill="FAFAFA"/>
          <w:lang w:val="en-US" w:eastAsia="zh-CN" w:bidi="ar"/>
        </w:rPr>
        <w:t>第二十一条</w:t>
      </w:r>
      <w:r>
        <w:rPr>
          <w:rFonts w:hint="eastAsia" w:ascii="仿宋_GB2312" w:hAnsi="宋体" w:eastAsia="仿宋_GB2312" w:cs="仿宋_GB2312"/>
          <w:i w:val="0"/>
          <w:iCs w:val="0"/>
          <w:caps w:val="0"/>
          <w:color w:val="404040"/>
          <w:spacing w:val="0"/>
          <w:kern w:val="0"/>
          <w:sz w:val="32"/>
          <w:szCs w:val="32"/>
          <w:bdr w:val="none" w:color="auto" w:sz="0" w:space="0"/>
          <w:shd w:val="clear" w:fill="FAFAFA"/>
          <w:lang w:val="en-US" w:eastAsia="zh-CN" w:bidi="ar"/>
        </w:rPr>
        <w:t> 各级融资（再）担保机构出资人管理部门（机构）应督促所属融资（再）担保机构根据本代偿核销工作指引制定具体实施办法，并向本级财政部门和行业监管部门完成备案程序，抄送本级审计、税务、纪检监察及出资人管理部门（机构）后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40"/>
        <w:jc w:val="left"/>
        <w:rPr>
          <w:rFonts w:hint="eastAsia" w:ascii="宋体" w:hAnsi="宋体" w:eastAsia="宋体" w:cs="宋体"/>
          <w:i w:val="0"/>
          <w:iCs w:val="0"/>
          <w:caps w:val="0"/>
          <w:color w:val="404040"/>
          <w:spacing w:val="0"/>
          <w:sz w:val="27"/>
          <w:szCs w:val="27"/>
        </w:rPr>
      </w:pPr>
      <w:r>
        <w:rPr>
          <w:rFonts w:hint="default" w:ascii="楷体_GB2312" w:hAnsi="宋体" w:eastAsia="楷体_GB2312" w:cs="楷体_GB2312"/>
          <w:i w:val="0"/>
          <w:iCs w:val="0"/>
          <w:caps w:val="0"/>
          <w:color w:val="404040"/>
          <w:spacing w:val="0"/>
          <w:sz w:val="32"/>
          <w:szCs w:val="32"/>
          <w:bdr w:val="none" w:color="auto" w:sz="0" w:space="0"/>
          <w:shd w:val="clear" w:fill="FAFAFA"/>
        </w:rPr>
        <w:t>第二十二条 </w:t>
      </w:r>
      <w:r>
        <w:rPr>
          <w:rFonts w:hint="eastAsia" w:ascii="仿宋_GB2312" w:hAnsi="宋体" w:eastAsia="仿宋_GB2312" w:cs="仿宋_GB2312"/>
          <w:i w:val="0"/>
          <w:iCs w:val="0"/>
          <w:caps w:val="0"/>
          <w:color w:val="404040"/>
          <w:spacing w:val="0"/>
          <w:sz w:val="32"/>
          <w:szCs w:val="32"/>
          <w:bdr w:val="none" w:color="auto" w:sz="0" w:space="0"/>
          <w:shd w:val="clear" w:fill="FAFAFA"/>
        </w:rPr>
        <w:t>各级融资（再）担保机构出资人管理部门（机构）应充分行使出资人管理职责，认真落实《省财政厅   省地方金融监督管理局关于建立健全政府性融资担保机构“四补”机制的通知》（鄂财金发〔2021〕42 号）要求，落实资本金补充、代偿补偿职责，确保代偿损失核销后，融资（再）担保机构资产比例符合行业监管要求。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40"/>
        <w:jc w:val="left"/>
        <w:rPr>
          <w:rFonts w:hint="eastAsia" w:ascii="宋体" w:hAnsi="宋体" w:eastAsia="宋体" w:cs="宋体"/>
          <w:i w:val="0"/>
          <w:iCs w:val="0"/>
          <w:caps w:val="0"/>
          <w:color w:val="404040"/>
          <w:spacing w:val="0"/>
          <w:sz w:val="27"/>
          <w:szCs w:val="27"/>
        </w:rPr>
      </w:pPr>
      <w:r>
        <w:rPr>
          <w:rFonts w:hint="default" w:ascii="楷体_GB2312" w:hAnsi="宋体" w:eastAsia="楷体_GB2312" w:cs="楷体_GB2312"/>
          <w:i w:val="0"/>
          <w:iCs w:val="0"/>
          <w:caps w:val="0"/>
          <w:color w:val="404040"/>
          <w:spacing w:val="0"/>
          <w:sz w:val="32"/>
          <w:szCs w:val="32"/>
          <w:bdr w:val="none" w:color="auto" w:sz="0" w:space="0"/>
          <w:shd w:val="clear" w:fill="FAFAFA"/>
        </w:rPr>
        <w:t>第二十三条 </w:t>
      </w:r>
      <w:r>
        <w:rPr>
          <w:rFonts w:hint="eastAsia" w:ascii="仿宋_GB2312" w:hAnsi="宋体" w:eastAsia="仿宋_GB2312" w:cs="仿宋_GB2312"/>
          <w:i w:val="0"/>
          <w:iCs w:val="0"/>
          <w:caps w:val="0"/>
          <w:color w:val="404040"/>
          <w:spacing w:val="0"/>
          <w:sz w:val="32"/>
          <w:szCs w:val="32"/>
          <w:bdr w:val="none" w:color="auto" w:sz="0" w:space="0"/>
          <w:shd w:val="clear" w:fill="FAFAFA"/>
        </w:rPr>
        <w:t>各级财政部门和金融监管部门应于本代偿核销工作指引印发之日起90日内，将本级融资（再）担保机构落实情况报送省财政厅和省地方金融监管局。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40"/>
        <w:jc w:val="left"/>
        <w:rPr>
          <w:rFonts w:hint="eastAsia" w:ascii="宋体" w:hAnsi="宋体" w:eastAsia="宋体" w:cs="宋体"/>
          <w:i w:val="0"/>
          <w:iCs w:val="0"/>
          <w:caps w:val="0"/>
          <w:color w:val="404040"/>
          <w:spacing w:val="0"/>
          <w:sz w:val="27"/>
          <w:szCs w:val="27"/>
        </w:rPr>
      </w:pPr>
      <w:r>
        <w:rPr>
          <w:rFonts w:hint="default" w:ascii="楷体_GB2312" w:hAnsi="宋体" w:eastAsia="楷体_GB2312" w:cs="楷体_GB2312"/>
          <w:i w:val="0"/>
          <w:iCs w:val="0"/>
          <w:caps w:val="0"/>
          <w:color w:val="404040"/>
          <w:spacing w:val="0"/>
          <w:sz w:val="32"/>
          <w:szCs w:val="32"/>
          <w:bdr w:val="none" w:color="auto" w:sz="0" w:space="0"/>
          <w:shd w:val="clear" w:fill="FAFAFA"/>
        </w:rPr>
        <w:t>第二十四条 </w:t>
      </w:r>
      <w:r>
        <w:rPr>
          <w:rFonts w:hint="eastAsia" w:ascii="仿宋_GB2312" w:hAnsi="宋体" w:eastAsia="仿宋_GB2312" w:cs="仿宋_GB2312"/>
          <w:i w:val="0"/>
          <w:iCs w:val="0"/>
          <w:caps w:val="0"/>
          <w:color w:val="404040"/>
          <w:spacing w:val="0"/>
          <w:sz w:val="32"/>
          <w:szCs w:val="32"/>
          <w:bdr w:val="none" w:color="auto" w:sz="0" w:space="0"/>
          <w:shd w:val="clear" w:fill="FAFAFA"/>
        </w:rPr>
        <w:t>本工作指引自印发之日起执行，有效期为3年。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2OGU2MmE0NDU0YzY3NzZmYjU5Njk1OGVkMzM1NmEifQ=="/>
  </w:docVars>
  <w:rsids>
    <w:rsidRoot w:val="1DE07412"/>
    <w:rsid w:val="1DE07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5204</Words>
  <Characters>5227</Characters>
  <Lines>0</Lines>
  <Paragraphs>0</Paragraphs>
  <TotalTime>0</TotalTime>
  <ScaleCrop>false</ScaleCrop>
  <LinksUpToDate>false</LinksUpToDate>
  <CharactersWithSpaces>5266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2023-08-30T01:02:00Z</dcterms:created>
  <dc:creator>F41382083650</dc:creator>
  <cp:lastModifiedBy>F41382083650</cp:lastModifiedBy>
  <dcterms:modified xsi:type="dcterms:W3CDTF">2023-08-30T01:03:33Z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50AD02C4EFBE444DA748DCBD19768EDE_11</vt:lpwstr>
  </property>
</Properties>
</file>