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Style w:val="5"/>
          <w:rFonts w:hint="default" w:ascii="Arial" w:hAnsi="Arial" w:eastAsia="Arial" w:cs="Arial"/>
          <w:b/>
          <w:bCs/>
          <w:i w:val="0"/>
          <w:iCs w:val="0"/>
          <w:caps w:val="0"/>
          <w:color w:val="191919"/>
          <w:spacing w:val="0"/>
          <w:sz w:val="48"/>
          <w:szCs w:val="4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eastAsia" w:ascii="Arial" w:hAnsi="Arial" w:eastAsia="Arial" w:cs="Arial"/>
          <w:i w:val="0"/>
          <w:iCs w:val="0"/>
          <w:caps w:val="0"/>
          <w:color w:val="191919"/>
          <w:spacing w:val="0"/>
          <w:sz w:val="48"/>
          <w:szCs w:val="48"/>
        </w:rPr>
      </w:pPr>
      <w:bookmarkStart w:id="0" w:name="_GoBack"/>
      <w:r>
        <w:rPr>
          <w:rStyle w:val="5"/>
          <w:rFonts w:hint="default" w:ascii="Arial" w:hAnsi="Arial" w:eastAsia="Arial" w:cs="Arial"/>
          <w:b/>
          <w:bCs/>
          <w:i w:val="0"/>
          <w:iCs w:val="0"/>
          <w:caps w:val="0"/>
          <w:color w:val="191919"/>
          <w:spacing w:val="0"/>
          <w:sz w:val="48"/>
          <w:szCs w:val="48"/>
          <w:bdr w:val="none" w:color="auto" w:sz="0" w:space="0"/>
          <w:shd w:val="clear" w:fill="FFFFFF"/>
        </w:rPr>
        <w:t>国有企业参股管理暂行办法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国资发改革规〔2023〕41号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关于印发《国有企业参股管理暂行办法》的通知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各中央企业，各省、自治区、直辖市及计划单列市和新疆生产建设兵团国资委：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《国有企业参股管理暂行办法》已经国务院国资委2023年第17次委务会审议通过，现印发给你们，请结合实际认真贯彻执行。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righ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国务院国资委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right"/>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2023年6月23日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Style w:val="5"/>
          <w:rFonts w:hint="default" w:ascii="Arial" w:hAnsi="Arial" w:eastAsia="Arial" w:cs="Arial"/>
          <w:b/>
          <w:bCs/>
          <w:i w:val="0"/>
          <w:iCs w:val="0"/>
          <w:caps w:val="0"/>
          <w:color w:val="191919"/>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第一条 为加强国有企业参股管理，提升国有资本配置效率，维护国有资产安全，促进混合所有制经济健康有序发展，根据《中华人民共和国公司法》《中华人民共和国企业国有资产法》《企业国有资产监督管理暂行条例》等有关规定，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第二条 本办法所称国有企业是指各级国有资产监督管理机构履行出资人职责的企业及其子企业，参股是指国有企业在所投资企业持股比例不超过50%且不具有实际控制力的股权投资。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第三条 国有企业参股管理应当遵循以下原则：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(一)依法合规。严格遵守法律法规和国有资产监督管理规定，规范开展参股经营投资，加强合法合规性审查，有效行使股东权利，依法履行股东义务，维护国有企业合法权益。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(二)突出主业。以高质量发展为目标，服务国家战略，聚焦主责主业，有效发挥参股经营投资在战略性新兴产业培育孵化等方面的积极作用，促进国有资本布局优化和结构调整。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(三)强化管控。严格参股经营投资管理，加强审核把关，完善内控体系，压实管理责任，加强风险防范，严防国有资产流失，促进国有资产保值增值。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(四)合作共赢。尊重参股企业经营自主权，有效发挥参股企业各方股东作用，激发各类市场主体活力，推动各种所有制资本取长补短、相互促进、共同发展。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第四条 国有资产监督管理机构负责指导监督所监管企业建立健全内控体系，加强内部审计监督检查，规范开展参股经营投资，并依据相关规定对违规行为开展责任追究。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第五条 国有企业是参股管理责任主体，应当结合实际制定管理制度，按照出资关系和企业相关规定对参股经营投资进行有效管控。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center"/>
        <w:textAlignment w:val="auto"/>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第二章 参股投资管理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第六条 严格执行国有资产投资监督管理有关规定，坚持聚焦主责主业，符合企业发展战略规划，严控非主业投资，不得通过参股等方式开展投资项目负面清单规定的禁止类业务。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参股投资金融和类金融企业，应当符合金融行业准入条件，严格执行国有企业金融业务监督管理有关规定。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第七条 充分开展尽职调查，通过各类信用信息平台、第三方调查等方式，审查合作方资格资质信誉，选择经营管理水平高、资质信誉好的参股合作方。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不得选择与集团公司及各级子企业领导人员存在特定关系(配偶、子女及其配偶等亲属关系，以及共同利益关系等)的合作方。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第八条 结合经营发展需要，合理确定持股比例和股权结构。达到一定持股比例的参股投资，原则上应当享有提名董事的权利。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不得以股权代持、“名为参股合作、实为借贷融资”的名股实债方式开展参股合作。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第九条 按照法律法规等有关规定，协调推进各方股东在参股企业章程中明确各治理主体的设置和权责边界，促进参股企业 建立权责法定、权责透明、协调运转、有效制衡的公司治理机制，建立健全中国特色现代企业制度。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第十条 通过投资协议或参股企业章程、议事规则等制度文件，依法合规、科学合理约定各方股东权利义务，并结合实际明确 分红权、人员委派、高级管理人员薪酬激励、审计监督、信息披露、安全生产、特定事项否决权及股权退出等重点事项，避免对参股股权管理失控，有效维护国有股东权益。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第十一条 严格落实国有资产投资监督管理有关要求，健全参股投资决策机制，强化投资决策统一管理。参股投资决策权向下授权应当作为重大经营管理事项经党委(党组)前置研究讨论，由董事会或未设董事会的经理层决定，授权的企业管理层级原则上不超过两级。达到一定额度的参股投资，应当纳入“三重一大”范围，由集团公司决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第十二条 国有企业作为参股股东与其他股东共同出资新设企业，不得对其他股东出资提供垫资，不得先于其他股东缴纳出资，另有规定的除外。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以非货币性资产作价出资的，应当以公允合理的方式确定国有资产价值。其他股东未按约定缴纳出资的，国有企业应当及时了解情况，采取有效措施防范风险。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center"/>
        <w:textAlignment w:val="auto"/>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第三章 参股股权经营管理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第十三条 明确具体负责部门，对参股股权进行归口管理，建立参股经营投资台账，加强基础管理，全面准确掌握参股企业基本情况。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结合企业实际建立重要参股企业名单，将没有实际控制力但作为第一大股东以及其他持股比例较高的参股企业纳入其中，探索实施差异化管理。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第十四条 依据参股企业公司章程，选派股东代表、董事监事或者重要岗位人员，积极发挥股东作用，有效履行股东权责。加强选派人员管理，建立健全选聘、履职、考核和轮换等制度，确保派出人员具备相应的专业素质和履职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第十五条 国有企业向参股企业的派出人员应当认真勤勉履职，推动参股企业按照规定召开股东(大)会、董事会等研究决策相关事项，及时掌握并向派出企业报告重大事项，并定期向派出企业述职，每年至少1次。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第十六条 积极参与参股企业重要事项决策，对参股企业章程重要条款修订、重大投融资、重大担保、重大产权变动、高级管理人员变动和薪酬激励及公司合并、分立、变更、解散等事项，应当深入研究论证，充分表达国有股东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第十七条 加强运行监测和风险管控，及时掌握参股企业经营情况，发现异常要深入剖析原因，积极采取应对措施，防范化解风险隐患。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发现可能导致企业生产经营条件和市场环境发生特别重大变化并影响企业可持续发展等重大风险或重大损失的，应当按照有关规定及时向同级国有资产监督管理机构报告。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第十八条 加强财务管控，及时获取参股企业财务报告，掌握财务状况、经营成果等信息。注重投资回报，根据公司章程等督促参股企业及时分红。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严格控制对参股企业提供担保，确需提供的，应当严格履行决策程序，且不得超股权比例提供担保。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对于投资额大、关联交易占比高、应收账款金额大或账龄长的参股企业，应当加强风险排查。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第十九条 建立参股经营投资评估机制，结合企业发展战略、主营业务等，加强对参股企业公司治理、盈利水平、分红能力、增值潜力、与主业关联度等的综合分析，全面评估参股经营投资质量。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根据参股经营投资质量评估等情况，对参股股权实施分类管控，并合理运用增持、减持或退出等方式加强价值管理，不断提高国有资本配置效率。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第二十条 按照国有产权管理有关规定，及时办理参股股权的产权占有、变动、注销等相关手续，按期进行数据核对，确保参股产权登记的及时性、准确性和完整性。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参股企业通过增资扩股引入其他投资者，国有股东应当在决策过程中，按照国有资产监督管理有关规定就资产评估、进场交易等发表意见。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第二十一条 加强无形资产管理，严格规范无形资产使用，有效维护企业权益和品牌价值。不得将字号、经营资质和特许经营权等提供给参股企业使用。产品注册商标确需授权给参股企业使用的，应当严格授权使用条件和决策审批程序，并采取市场公允价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产权转让、企业增资导致国有企业失去标的企业实际控制权的，交易完成后标的企业不得继续使用原国有企业的字号、经营资质和特许经营权等无形资产，不得继续以原国有企业名义开展经营活动。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第二十二条 国有企业及其各级子企业领导人员在参股企业兼职，应当根据工作需要从严掌握，一般不跨级兼职，不兼“挂名”职务。确需兼职的，按照管理权限审批，且不得在兼职企业领取工资、奖金、津贴等任何形式的报酬，不得获取股权和其他额外利益；任期届满需要连任的，应当重新履行相关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参股投资主体及其各级控股股东领导人员亲属在参股企业关键岗位任职，应当参照企业领导人员任职回避有关规定执行。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第二十三条 国有企业持股比例合计50%以上的参股企业，党建工作原则上由持股比例最大的国有股东或国有资产监督管理机构领导和指导为主，按照有关规定落实管党治党责任。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其他国有参股企业，国有股东应当加强对企业党建工作的领导和指导，推动党的组织和工作有效覆盖，充分发挥党组织和党员作用，确保党的领导和党的建设在参股企业得到充分体现，维护国有资产权益和社会公共利益，严防国有资产流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国有参股企业党组织关系、党建工作领导和指导责任归属国有资产监督管理机构或国有企业的，原则上应当保持稳定。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center"/>
        <w:textAlignment w:val="auto"/>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第四章 参股股权退出管理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第二十四条 除战略性持有或培育期的参股股权外，国有企业应当退出5年以上未分红、长期亏损、非持续经营的低效无效参股股权，退出与国有企业职责定位严重不符且不具备竞争优势、风险较大、经营情况难以掌握的参股投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第二十五条 加强研究论证，创新方式方法，合理选择股权转让、股权置换、清算注销等方式，清理退出低效无效参股股权。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充分发挥国有资本投资、运营公司作用，积极探索委托管理、集中打包、重组整合等措施，集中处置低效无效参股股权，提高处置效率，加快资产盘活。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第二十六条 退出参股股权应当严格执行国有资产监督管理有关规定，依法合规履行财务审计、资产评估和产权交易等程序，及时办理工商变更登记。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center"/>
        <w:textAlignment w:val="auto"/>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第五章 监督问责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第二十七条 国有企业应当将参股经营投资作为内部管控的重要内容，建立健全以风险管理为导向、合规管理监督为重点的内控体系。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规范开展参股经营投资的审计监督，重点关注参股企业财务信息和经营情况，对各级企业负责人开展任期经济责任审计时，应当将参股投资、与参股企业关联交易等有关事项列入重点审计内容。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第二十八条 国有资产监督管理机构应当建立健全参股监督管理工作机制，明确相关部门职责，加强协同联动，有效落实监管责任。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鼓励具备条件的国有资产监督管理机构建立健全在线监管平台，对国有企业参股经营投资进行实时在线监管。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第二十九条 国有企业参股经营投资中违反规定，造成国有资产损失或者其他严重不良后果的，应当按照有关规定对相关责任人给予严肃处理，并实行重大决策终身问责；涉嫌违纪违法的，移送有关纪检监察机关或司法机关严肃查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center"/>
        <w:textAlignment w:val="auto"/>
        <w:rPr>
          <w:rFonts w:hint="default" w:ascii="Arial" w:hAnsi="Arial" w:eastAsia="Arial" w:cs="Arial"/>
          <w:i w:val="0"/>
          <w:iCs w:val="0"/>
          <w:caps w:val="0"/>
          <w:color w:val="191919"/>
          <w:spacing w:val="0"/>
          <w:sz w:val="24"/>
          <w:szCs w:val="24"/>
        </w:rPr>
      </w:pPr>
      <w:r>
        <w:rPr>
          <w:rStyle w:val="5"/>
          <w:rFonts w:hint="default" w:ascii="Arial" w:hAnsi="Arial" w:eastAsia="Arial" w:cs="Arial"/>
          <w:b/>
          <w:bCs/>
          <w:i w:val="0"/>
          <w:iCs w:val="0"/>
          <w:caps w:val="0"/>
          <w:color w:val="191919"/>
          <w:spacing w:val="0"/>
          <w:sz w:val="24"/>
          <w:szCs w:val="24"/>
          <w:bdr w:val="none" w:color="auto" w:sz="0" w:space="0"/>
          <w:shd w:val="clear" w:fill="FFFFFF"/>
        </w:rPr>
        <w:t>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第三十条 国有企业基金业务参股管理，另有规定的依其规定执行。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第三十一条 以交易为目的且按照金融工具确认的股权投资不适用本办法。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第三十二条 本办法中“不超过”“以上”包括本数。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ind w:left="0" w:right="0" w:firstLine="480" w:firstLineChars="200"/>
        <w:jc w:val="left"/>
        <w:textAlignment w:val="auto"/>
        <w:rPr>
          <w:rFonts w:hint="default" w:ascii="Arial" w:hAnsi="Arial" w:eastAsia="Arial" w:cs="Arial"/>
          <w:i w:val="0"/>
          <w:iCs w:val="0"/>
          <w:caps w:val="0"/>
          <w:color w:val="191919"/>
          <w:spacing w:val="0"/>
          <w:sz w:val="24"/>
          <w:szCs w:val="24"/>
        </w:rPr>
      </w:pPr>
      <w:r>
        <w:rPr>
          <w:rFonts w:hint="default" w:ascii="Arial" w:hAnsi="Arial" w:eastAsia="Arial" w:cs="Arial"/>
          <w:i w:val="0"/>
          <w:iCs w:val="0"/>
          <w:caps w:val="0"/>
          <w:color w:val="191919"/>
          <w:spacing w:val="0"/>
          <w:sz w:val="24"/>
          <w:szCs w:val="24"/>
          <w:bdr w:val="none" w:color="auto" w:sz="0" w:space="0"/>
          <w:shd w:val="clear" w:fill="FFFFFF"/>
        </w:rPr>
        <w:t>第三十三条 本办法自公布之日起施行。《关于中央企业加强参股管理有关事项的通知》(国资发改革规〔2019〕126 号)同时废止。</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6F2B2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2023-09-15T06:48:18Z</dcterms:created>
  <dc:creator>DEEP</dc:creator>
  <cp:lastModifiedBy>F41382083650</cp:lastModifiedBy>
  <dcterms:modified xsi:type="dcterms:W3CDTF">2023-09-15T06:49:49Z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126F68D83ED5476FAC055446D32E8E2B_13</vt:lpwstr>
  </property>
</Properties>
</file>