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69B53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right="120"/>
        <w:jc w:val="center"/>
        <w:rPr>
          <w:rStyle w:val="5"/>
          <w:rFonts w:ascii="仿宋" w:hAnsi="仿宋" w:eastAsia="仿宋" w:cs="仿宋"/>
          <w:i w:val="0"/>
          <w:iCs w:val="0"/>
          <w:caps w:val="0"/>
          <w:color w:val="000000"/>
          <w:spacing w:val="15"/>
          <w:sz w:val="31"/>
          <w:szCs w:val="31"/>
          <w:bdr w:val="none" w:color="auto" w:sz="0" w:space="0"/>
          <w:shd w:val="clear" w:fill="FFFFFF"/>
        </w:rPr>
      </w:pPr>
    </w:p>
    <w:p w14:paraId="10C75A2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right="120"/>
        <w:jc w:val="center"/>
        <w:rPr>
          <w:rFonts w:ascii="Microsoft YaHei UI" w:hAnsi="Microsoft YaHei UI" w:eastAsia="Microsoft YaHei UI" w:cs="Microsoft YaHei UI"/>
          <w:i w:val="0"/>
          <w:iCs w:val="0"/>
          <w:caps w:val="0"/>
          <w:spacing w:val="9"/>
          <w:sz w:val="40"/>
          <w:szCs w:val="40"/>
        </w:rPr>
      </w:pPr>
      <w:r>
        <w:rPr>
          <w:rStyle w:val="5"/>
          <w:rFonts w:ascii="仿宋" w:hAnsi="仿宋" w:eastAsia="仿宋" w:cs="仿宋"/>
          <w:i w:val="0"/>
          <w:iCs w:val="0"/>
          <w:caps w:val="0"/>
          <w:color w:val="000000"/>
          <w:spacing w:val="15"/>
          <w:sz w:val="44"/>
          <w:szCs w:val="44"/>
          <w:bdr w:val="none" w:color="auto" w:sz="0" w:space="0"/>
          <w:shd w:val="clear" w:fill="FFFFFF"/>
        </w:rPr>
        <w:t>国有企业参股管理暂行办法</w:t>
      </w:r>
    </w:p>
    <w:p w14:paraId="3FC8974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right="120"/>
        <w:jc w:val="center"/>
        <w:rPr>
          <w:rFonts w:hint="eastAsia" w:ascii="Microsoft YaHei UI" w:hAnsi="Microsoft YaHei UI" w:eastAsia="Microsoft YaHei UI" w:cs="Microsoft YaHei UI"/>
          <w:i w:val="0"/>
          <w:iCs w:val="0"/>
          <w:caps w:val="0"/>
          <w:spacing w:val="8"/>
          <w:sz w:val="40"/>
          <w:szCs w:val="40"/>
        </w:rPr>
      </w:pPr>
      <w:r>
        <w:rPr>
          <w:rStyle w:val="5"/>
          <w:rFonts w:hint="eastAsia" w:ascii="仿宋" w:hAnsi="仿宋" w:eastAsia="仿宋" w:cs="仿宋"/>
          <w:i w:val="0"/>
          <w:iCs w:val="0"/>
          <w:caps w:val="0"/>
          <w:color w:val="000000"/>
          <w:spacing w:val="15"/>
          <w:sz w:val="44"/>
          <w:szCs w:val="44"/>
          <w:bdr w:val="none" w:color="auto" w:sz="0" w:space="0"/>
          <w:shd w:val="clear" w:fill="FFFFFF"/>
        </w:rPr>
        <w:t>第一章 总 则</w:t>
      </w:r>
    </w:p>
    <w:p w14:paraId="70031A1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firstLine="692" w:firstLineChars="200"/>
        <w:jc w:val="both"/>
        <w:rPr>
          <w:rStyle w:val="5"/>
          <w:rFonts w:hint="eastAsia" w:ascii="仿宋" w:hAnsi="仿宋" w:eastAsia="仿宋" w:cs="仿宋"/>
          <w:i w:val="0"/>
          <w:iCs w:val="0"/>
          <w:caps w:val="0"/>
          <w:color w:val="000000"/>
          <w:spacing w:val="15"/>
          <w:sz w:val="31"/>
          <w:szCs w:val="31"/>
          <w:bdr w:val="none" w:color="auto" w:sz="0" w:space="0"/>
          <w:shd w:val="clear" w:fill="FFFFFF"/>
        </w:rPr>
      </w:pPr>
      <w:bookmarkStart w:id="0" w:name="_GoBack"/>
      <w:bookmarkEnd w:id="0"/>
    </w:p>
    <w:p w14:paraId="202308E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firstLine="692" w:firstLineChars="200"/>
        <w:jc w:val="both"/>
        <w:rPr>
          <w:rFonts w:hint="eastAsia" w:ascii="Microsoft YaHei UI" w:hAnsi="Microsoft YaHei UI" w:eastAsia="Microsoft YaHei UI" w:cs="Microsoft YaHei UI"/>
          <w:i w:val="0"/>
          <w:iCs w:val="0"/>
          <w:caps w:val="0"/>
          <w:spacing w:val="8"/>
          <w:sz w:val="25"/>
          <w:szCs w:val="25"/>
        </w:rPr>
      </w:pPr>
      <w:r>
        <w:rPr>
          <w:rStyle w:val="5"/>
          <w:rFonts w:hint="eastAsia" w:ascii="仿宋" w:hAnsi="仿宋" w:eastAsia="仿宋" w:cs="仿宋"/>
          <w:i w:val="0"/>
          <w:iCs w:val="0"/>
          <w:caps w:val="0"/>
          <w:color w:val="000000"/>
          <w:spacing w:val="15"/>
          <w:sz w:val="31"/>
          <w:szCs w:val="31"/>
          <w:bdr w:val="none" w:color="auto" w:sz="0" w:space="0"/>
          <w:shd w:val="clear" w:fill="FFFFFF"/>
        </w:rPr>
        <w:t>第一条</w:t>
      </w:r>
      <w:r>
        <w:rPr>
          <w:rFonts w:hint="eastAsia" w:ascii="仿宋" w:hAnsi="仿宋" w:eastAsia="仿宋" w:cs="仿宋"/>
          <w:i w:val="0"/>
          <w:iCs w:val="0"/>
          <w:caps w:val="0"/>
          <w:color w:val="000000"/>
          <w:spacing w:val="15"/>
          <w:sz w:val="31"/>
          <w:szCs w:val="31"/>
          <w:bdr w:val="none" w:color="auto" w:sz="0" w:space="0"/>
          <w:shd w:val="clear" w:fill="FFFFFF"/>
        </w:rPr>
        <w:t> 为加强国有企业参股管理，提升国有资本配置效率，维护国有资产安全，促进混合所有制经济健康有序发展，根据《中华人民共和国公司法》《中华人民共和国企业国有资产法》《企业国有资产监督管理暂行条例》等有关规定，制定本办法。</w:t>
      </w:r>
    </w:p>
    <w:p w14:paraId="55F27AF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firstLine="692" w:firstLineChars="200"/>
        <w:jc w:val="both"/>
        <w:rPr>
          <w:rFonts w:hint="eastAsia" w:ascii="Microsoft YaHei UI" w:hAnsi="Microsoft YaHei UI" w:eastAsia="Microsoft YaHei UI" w:cs="Microsoft YaHei UI"/>
          <w:i w:val="0"/>
          <w:iCs w:val="0"/>
          <w:caps w:val="0"/>
          <w:spacing w:val="8"/>
          <w:sz w:val="25"/>
          <w:szCs w:val="25"/>
        </w:rPr>
      </w:pPr>
      <w:r>
        <w:rPr>
          <w:rStyle w:val="5"/>
          <w:rFonts w:hint="eastAsia" w:ascii="仿宋" w:hAnsi="仿宋" w:eastAsia="仿宋" w:cs="仿宋"/>
          <w:i w:val="0"/>
          <w:iCs w:val="0"/>
          <w:caps w:val="0"/>
          <w:color w:val="000000"/>
          <w:spacing w:val="15"/>
          <w:sz w:val="31"/>
          <w:szCs w:val="31"/>
          <w:bdr w:val="none" w:color="auto" w:sz="0" w:space="0"/>
          <w:shd w:val="clear" w:fill="FFFFFF"/>
        </w:rPr>
        <w:t>第二条</w:t>
      </w:r>
      <w:r>
        <w:rPr>
          <w:rFonts w:hint="eastAsia" w:ascii="仿宋" w:hAnsi="仿宋" w:eastAsia="仿宋" w:cs="仿宋"/>
          <w:i w:val="0"/>
          <w:iCs w:val="0"/>
          <w:caps w:val="0"/>
          <w:color w:val="000000"/>
          <w:spacing w:val="15"/>
          <w:sz w:val="31"/>
          <w:szCs w:val="31"/>
          <w:bdr w:val="none" w:color="auto" w:sz="0" w:space="0"/>
          <w:shd w:val="clear" w:fill="FFFFFF"/>
        </w:rPr>
        <w:t> 本办法所称国有企业是指各级国有资产监督管理机构履行出资人职责的企业及其子企业，参股是指国有企业在所投资企业持股比例不超过50%且不具有实际控制力的股权投资。</w:t>
      </w:r>
    </w:p>
    <w:p w14:paraId="73AE5EE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firstLine="692" w:firstLineChars="200"/>
        <w:jc w:val="both"/>
        <w:rPr>
          <w:rFonts w:hint="eastAsia" w:ascii="Microsoft YaHei UI" w:hAnsi="Microsoft YaHei UI" w:eastAsia="Microsoft YaHei UI" w:cs="Microsoft YaHei UI"/>
          <w:i w:val="0"/>
          <w:iCs w:val="0"/>
          <w:caps w:val="0"/>
          <w:spacing w:val="8"/>
          <w:sz w:val="25"/>
          <w:szCs w:val="25"/>
        </w:rPr>
      </w:pPr>
      <w:r>
        <w:rPr>
          <w:rStyle w:val="5"/>
          <w:rFonts w:hint="eastAsia" w:ascii="仿宋" w:hAnsi="仿宋" w:eastAsia="仿宋" w:cs="仿宋"/>
          <w:i w:val="0"/>
          <w:iCs w:val="0"/>
          <w:caps w:val="0"/>
          <w:color w:val="000000"/>
          <w:spacing w:val="15"/>
          <w:sz w:val="31"/>
          <w:szCs w:val="31"/>
          <w:bdr w:val="none" w:color="auto" w:sz="0" w:space="0"/>
          <w:shd w:val="clear" w:fill="FFFFFF"/>
        </w:rPr>
        <w:t>第三条</w:t>
      </w:r>
      <w:r>
        <w:rPr>
          <w:rFonts w:hint="eastAsia" w:ascii="仿宋" w:hAnsi="仿宋" w:eastAsia="仿宋" w:cs="仿宋"/>
          <w:i w:val="0"/>
          <w:iCs w:val="0"/>
          <w:caps w:val="0"/>
          <w:color w:val="000000"/>
          <w:spacing w:val="15"/>
          <w:sz w:val="31"/>
          <w:szCs w:val="31"/>
          <w:bdr w:val="none" w:color="auto" w:sz="0" w:space="0"/>
          <w:shd w:val="clear" w:fill="FFFFFF"/>
        </w:rPr>
        <w:t> 国有企业参股管理应当遵循以下原则：</w:t>
      </w:r>
    </w:p>
    <w:p w14:paraId="63B4569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firstLine="690" w:firstLineChars="200"/>
        <w:jc w:val="both"/>
        <w:rPr>
          <w:rFonts w:hint="eastAsia" w:ascii="Microsoft YaHei UI" w:hAnsi="Microsoft YaHei UI" w:eastAsia="Microsoft YaHei UI" w:cs="Microsoft YaHei UI"/>
          <w:i w:val="0"/>
          <w:iCs w:val="0"/>
          <w:caps w:val="0"/>
          <w:spacing w:val="8"/>
          <w:sz w:val="25"/>
          <w:szCs w:val="25"/>
        </w:rPr>
      </w:pPr>
      <w:r>
        <w:rPr>
          <w:rFonts w:hint="eastAsia" w:ascii="仿宋" w:hAnsi="仿宋" w:eastAsia="仿宋" w:cs="仿宋"/>
          <w:i w:val="0"/>
          <w:iCs w:val="0"/>
          <w:caps w:val="0"/>
          <w:color w:val="000000"/>
          <w:spacing w:val="15"/>
          <w:sz w:val="31"/>
          <w:szCs w:val="31"/>
          <w:bdr w:val="none" w:color="auto" w:sz="0" w:space="0"/>
          <w:shd w:val="clear" w:fill="FFFFFF"/>
        </w:rPr>
        <w:t>(一)依法合规。严格遵守法律法规和国有资产监督管理规定，规范开展参股经营投资，加强合法合规性审查，有效行使股东权利，依法履行股东义务，维护国有企业合法权益。</w:t>
      </w:r>
    </w:p>
    <w:p w14:paraId="7CAF204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firstLine="690" w:firstLineChars="200"/>
        <w:jc w:val="both"/>
        <w:rPr>
          <w:rFonts w:hint="eastAsia" w:ascii="Microsoft YaHei UI" w:hAnsi="Microsoft YaHei UI" w:eastAsia="Microsoft YaHei UI" w:cs="Microsoft YaHei UI"/>
          <w:i w:val="0"/>
          <w:iCs w:val="0"/>
          <w:caps w:val="0"/>
          <w:spacing w:val="8"/>
          <w:sz w:val="25"/>
          <w:szCs w:val="25"/>
        </w:rPr>
      </w:pPr>
      <w:r>
        <w:rPr>
          <w:rFonts w:hint="eastAsia" w:ascii="仿宋" w:hAnsi="仿宋" w:eastAsia="仿宋" w:cs="仿宋"/>
          <w:i w:val="0"/>
          <w:iCs w:val="0"/>
          <w:caps w:val="0"/>
          <w:color w:val="000000"/>
          <w:spacing w:val="15"/>
          <w:sz w:val="31"/>
          <w:szCs w:val="31"/>
          <w:bdr w:val="none" w:color="auto" w:sz="0" w:space="0"/>
          <w:shd w:val="clear" w:fill="FFFFFF"/>
        </w:rPr>
        <w:t>(二)突出主业。以高质量发展为目标，服务国家战略，聚焦主责主业，有效发挥参股经营投资在战略性新兴产业培育孵化等方面的积极作用，促进国有资本布局优化和结构调整。</w:t>
      </w:r>
    </w:p>
    <w:p w14:paraId="1BD877F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firstLine="690" w:firstLineChars="200"/>
        <w:jc w:val="both"/>
        <w:rPr>
          <w:rFonts w:hint="eastAsia" w:ascii="Microsoft YaHei UI" w:hAnsi="Microsoft YaHei UI" w:eastAsia="Microsoft YaHei UI" w:cs="Microsoft YaHei UI"/>
          <w:i w:val="0"/>
          <w:iCs w:val="0"/>
          <w:caps w:val="0"/>
          <w:spacing w:val="8"/>
          <w:sz w:val="25"/>
          <w:szCs w:val="25"/>
        </w:rPr>
      </w:pPr>
      <w:r>
        <w:rPr>
          <w:rFonts w:hint="eastAsia" w:ascii="仿宋" w:hAnsi="仿宋" w:eastAsia="仿宋" w:cs="仿宋"/>
          <w:i w:val="0"/>
          <w:iCs w:val="0"/>
          <w:caps w:val="0"/>
          <w:color w:val="000000"/>
          <w:spacing w:val="15"/>
          <w:sz w:val="31"/>
          <w:szCs w:val="31"/>
          <w:bdr w:val="none" w:color="auto" w:sz="0" w:space="0"/>
          <w:shd w:val="clear" w:fill="FFFFFF"/>
        </w:rPr>
        <w:t>(三)强化管控。严格参股经营投资管理，加强审核把关，完善内控体系，压实管理责任，加强风险防范，严防国有资产流失，促进国有资产保值增值。</w:t>
      </w:r>
    </w:p>
    <w:p w14:paraId="26BFF69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firstLine="690" w:firstLineChars="200"/>
        <w:jc w:val="both"/>
        <w:rPr>
          <w:rFonts w:hint="eastAsia" w:ascii="Microsoft YaHei UI" w:hAnsi="Microsoft YaHei UI" w:eastAsia="Microsoft YaHei UI" w:cs="Microsoft YaHei UI"/>
          <w:i w:val="0"/>
          <w:iCs w:val="0"/>
          <w:caps w:val="0"/>
          <w:spacing w:val="8"/>
          <w:sz w:val="25"/>
          <w:szCs w:val="25"/>
        </w:rPr>
      </w:pPr>
      <w:r>
        <w:rPr>
          <w:rFonts w:hint="eastAsia" w:ascii="仿宋" w:hAnsi="仿宋" w:eastAsia="仿宋" w:cs="仿宋"/>
          <w:i w:val="0"/>
          <w:iCs w:val="0"/>
          <w:caps w:val="0"/>
          <w:color w:val="000000"/>
          <w:spacing w:val="15"/>
          <w:sz w:val="31"/>
          <w:szCs w:val="31"/>
          <w:bdr w:val="none" w:color="auto" w:sz="0" w:space="0"/>
          <w:shd w:val="clear" w:fill="FFFFFF"/>
        </w:rPr>
        <w:t>(四)合作共赢。尊重参股企业经营自主权，有效发挥参股企业各方股东作用，激发各类市场主体活力，推动各种所有制资本取长补短、相互促进、共同发展。</w:t>
      </w:r>
    </w:p>
    <w:p w14:paraId="328EE37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firstLine="692" w:firstLineChars="200"/>
        <w:jc w:val="both"/>
        <w:rPr>
          <w:rFonts w:hint="eastAsia" w:ascii="Microsoft YaHei UI" w:hAnsi="Microsoft YaHei UI" w:eastAsia="Microsoft YaHei UI" w:cs="Microsoft YaHei UI"/>
          <w:i w:val="0"/>
          <w:iCs w:val="0"/>
          <w:caps w:val="0"/>
          <w:spacing w:val="8"/>
          <w:sz w:val="25"/>
          <w:szCs w:val="25"/>
        </w:rPr>
      </w:pPr>
      <w:r>
        <w:rPr>
          <w:rStyle w:val="5"/>
          <w:rFonts w:hint="eastAsia" w:ascii="仿宋" w:hAnsi="仿宋" w:eastAsia="仿宋" w:cs="仿宋"/>
          <w:i w:val="0"/>
          <w:iCs w:val="0"/>
          <w:caps w:val="0"/>
          <w:color w:val="000000"/>
          <w:spacing w:val="15"/>
          <w:sz w:val="31"/>
          <w:szCs w:val="31"/>
          <w:bdr w:val="none" w:color="auto" w:sz="0" w:space="0"/>
          <w:shd w:val="clear" w:fill="FFFFFF"/>
        </w:rPr>
        <w:t>第四条</w:t>
      </w:r>
      <w:r>
        <w:rPr>
          <w:rFonts w:hint="eastAsia" w:ascii="仿宋" w:hAnsi="仿宋" w:eastAsia="仿宋" w:cs="仿宋"/>
          <w:i w:val="0"/>
          <w:iCs w:val="0"/>
          <w:caps w:val="0"/>
          <w:color w:val="000000"/>
          <w:spacing w:val="15"/>
          <w:sz w:val="31"/>
          <w:szCs w:val="31"/>
          <w:bdr w:val="none" w:color="auto" w:sz="0" w:space="0"/>
          <w:shd w:val="clear" w:fill="FFFFFF"/>
        </w:rPr>
        <w:t> 国有资产监督管理机构负责指导监督所监管企业建立健全内控体系，加强内部审计监督检查，规范开展参股经营投资，并依据相关规定对违规行为开展责任追究。</w:t>
      </w:r>
    </w:p>
    <w:p w14:paraId="1E7F656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firstLine="692" w:firstLineChars="200"/>
        <w:jc w:val="both"/>
        <w:rPr>
          <w:rFonts w:hint="eastAsia" w:ascii="Microsoft YaHei UI" w:hAnsi="Microsoft YaHei UI" w:eastAsia="Microsoft YaHei UI" w:cs="Microsoft YaHei UI"/>
          <w:i w:val="0"/>
          <w:iCs w:val="0"/>
          <w:caps w:val="0"/>
          <w:spacing w:val="8"/>
          <w:sz w:val="25"/>
          <w:szCs w:val="25"/>
        </w:rPr>
      </w:pPr>
      <w:r>
        <w:rPr>
          <w:rStyle w:val="5"/>
          <w:rFonts w:hint="eastAsia" w:ascii="仿宋" w:hAnsi="仿宋" w:eastAsia="仿宋" w:cs="仿宋"/>
          <w:i w:val="0"/>
          <w:iCs w:val="0"/>
          <w:caps w:val="0"/>
          <w:color w:val="000000"/>
          <w:spacing w:val="15"/>
          <w:sz w:val="31"/>
          <w:szCs w:val="31"/>
          <w:bdr w:val="none" w:color="auto" w:sz="0" w:space="0"/>
          <w:shd w:val="clear" w:fill="FFFFFF"/>
        </w:rPr>
        <w:t>第五条</w:t>
      </w:r>
      <w:r>
        <w:rPr>
          <w:rFonts w:hint="eastAsia" w:ascii="仿宋" w:hAnsi="仿宋" w:eastAsia="仿宋" w:cs="仿宋"/>
          <w:i w:val="0"/>
          <w:iCs w:val="0"/>
          <w:caps w:val="0"/>
          <w:color w:val="000000"/>
          <w:spacing w:val="15"/>
          <w:sz w:val="31"/>
          <w:szCs w:val="31"/>
          <w:bdr w:val="none" w:color="auto" w:sz="0" w:space="0"/>
          <w:shd w:val="clear" w:fill="FFFFFF"/>
        </w:rPr>
        <w:t> 国有企业是参股管理责任主体，应当结合实际制定管理制度，按照出资关系和企业相关规定对参股经营投资进行有效管控。</w:t>
      </w:r>
    </w:p>
    <w:p w14:paraId="648173A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firstLine="692" w:firstLineChars="200"/>
        <w:jc w:val="center"/>
        <w:rPr>
          <w:rFonts w:hint="eastAsia" w:ascii="Microsoft YaHei UI" w:hAnsi="Microsoft YaHei UI" w:eastAsia="Microsoft YaHei UI" w:cs="Microsoft YaHei UI"/>
          <w:i w:val="0"/>
          <w:iCs w:val="0"/>
          <w:caps w:val="0"/>
          <w:spacing w:val="8"/>
          <w:sz w:val="25"/>
          <w:szCs w:val="25"/>
        </w:rPr>
      </w:pPr>
      <w:r>
        <w:rPr>
          <w:rStyle w:val="5"/>
          <w:rFonts w:hint="eastAsia" w:ascii="仿宋" w:hAnsi="仿宋" w:eastAsia="仿宋" w:cs="仿宋"/>
          <w:i w:val="0"/>
          <w:iCs w:val="0"/>
          <w:caps w:val="0"/>
          <w:color w:val="000000"/>
          <w:spacing w:val="15"/>
          <w:sz w:val="31"/>
          <w:szCs w:val="31"/>
          <w:bdr w:val="none" w:color="auto" w:sz="0" w:space="0"/>
          <w:shd w:val="clear" w:fill="FFFFFF"/>
        </w:rPr>
        <w:t>第二章 参股投资管理</w:t>
      </w:r>
    </w:p>
    <w:p w14:paraId="344875D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firstLine="692" w:firstLineChars="200"/>
        <w:jc w:val="both"/>
        <w:rPr>
          <w:rFonts w:hint="eastAsia" w:ascii="Microsoft YaHei UI" w:hAnsi="Microsoft YaHei UI" w:eastAsia="Microsoft YaHei UI" w:cs="Microsoft YaHei UI"/>
          <w:i w:val="0"/>
          <w:iCs w:val="0"/>
          <w:caps w:val="0"/>
          <w:spacing w:val="8"/>
          <w:sz w:val="25"/>
          <w:szCs w:val="25"/>
        </w:rPr>
      </w:pPr>
      <w:r>
        <w:rPr>
          <w:rStyle w:val="5"/>
          <w:rFonts w:hint="eastAsia" w:ascii="仿宋" w:hAnsi="仿宋" w:eastAsia="仿宋" w:cs="仿宋"/>
          <w:i w:val="0"/>
          <w:iCs w:val="0"/>
          <w:caps w:val="0"/>
          <w:color w:val="000000"/>
          <w:spacing w:val="15"/>
          <w:sz w:val="31"/>
          <w:szCs w:val="31"/>
          <w:bdr w:val="none" w:color="auto" w:sz="0" w:space="0"/>
          <w:shd w:val="clear" w:fill="FFFFFF"/>
        </w:rPr>
        <w:t>第六条</w:t>
      </w:r>
      <w:r>
        <w:rPr>
          <w:rFonts w:hint="eastAsia" w:ascii="仿宋" w:hAnsi="仿宋" w:eastAsia="仿宋" w:cs="仿宋"/>
          <w:i w:val="0"/>
          <w:iCs w:val="0"/>
          <w:caps w:val="0"/>
          <w:color w:val="000000"/>
          <w:spacing w:val="15"/>
          <w:sz w:val="31"/>
          <w:szCs w:val="31"/>
          <w:bdr w:val="none" w:color="auto" w:sz="0" w:space="0"/>
          <w:shd w:val="clear" w:fill="FFFFFF"/>
        </w:rPr>
        <w:t> 严格执行国有资产投资监督管理有关规定，坚持聚焦主责主业，符合企业发展战略规划，严控非主业投资，不得通过参股等方式开展投资项目负面清单规定的禁止类业务。</w:t>
      </w:r>
    </w:p>
    <w:p w14:paraId="00E0A86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firstLine="690" w:firstLineChars="200"/>
        <w:jc w:val="both"/>
        <w:rPr>
          <w:rFonts w:hint="eastAsia" w:ascii="Microsoft YaHei UI" w:hAnsi="Microsoft YaHei UI" w:eastAsia="Microsoft YaHei UI" w:cs="Microsoft YaHei UI"/>
          <w:i w:val="0"/>
          <w:iCs w:val="0"/>
          <w:caps w:val="0"/>
          <w:spacing w:val="8"/>
          <w:sz w:val="25"/>
          <w:szCs w:val="25"/>
        </w:rPr>
      </w:pPr>
      <w:r>
        <w:rPr>
          <w:rFonts w:hint="eastAsia" w:ascii="仿宋" w:hAnsi="仿宋" w:eastAsia="仿宋" w:cs="仿宋"/>
          <w:i w:val="0"/>
          <w:iCs w:val="0"/>
          <w:caps w:val="0"/>
          <w:color w:val="000000"/>
          <w:spacing w:val="15"/>
          <w:sz w:val="31"/>
          <w:szCs w:val="31"/>
          <w:bdr w:val="none" w:color="auto" w:sz="0" w:space="0"/>
          <w:shd w:val="clear" w:fill="FFFFFF"/>
        </w:rPr>
        <w:t>参股投资金融和类金融企业，应当符合金融行业准入条件，严格执行国有企业金融业务监督管理有关规定。</w:t>
      </w:r>
    </w:p>
    <w:p w14:paraId="6C21574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firstLine="692" w:firstLineChars="200"/>
        <w:jc w:val="both"/>
        <w:rPr>
          <w:rFonts w:hint="eastAsia" w:ascii="Microsoft YaHei UI" w:hAnsi="Microsoft YaHei UI" w:eastAsia="Microsoft YaHei UI" w:cs="Microsoft YaHei UI"/>
          <w:i w:val="0"/>
          <w:iCs w:val="0"/>
          <w:caps w:val="0"/>
          <w:spacing w:val="8"/>
          <w:sz w:val="25"/>
          <w:szCs w:val="25"/>
        </w:rPr>
      </w:pPr>
      <w:r>
        <w:rPr>
          <w:rStyle w:val="5"/>
          <w:rFonts w:hint="eastAsia" w:ascii="仿宋" w:hAnsi="仿宋" w:eastAsia="仿宋" w:cs="仿宋"/>
          <w:i w:val="0"/>
          <w:iCs w:val="0"/>
          <w:caps w:val="0"/>
          <w:color w:val="000000"/>
          <w:spacing w:val="15"/>
          <w:sz w:val="31"/>
          <w:szCs w:val="31"/>
          <w:bdr w:val="none" w:color="auto" w:sz="0" w:space="0"/>
          <w:shd w:val="clear" w:fill="FFFFFF"/>
        </w:rPr>
        <w:t>第七条 </w:t>
      </w:r>
      <w:r>
        <w:rPr>
          <w:rFonts w:hint="eastAsia" w:ascii="仿宋" w:hAnsi="仿宋" w:eastAsia="仿宋" w:cs="仿宋"/>
          <w:i w:val="0"/>
          <w:iCs w:val="0"/>
          <w:caps w:val="0"/>
          <w:color w:val="000000"/>
          <w:spacing w:val="15"/>
          <w:sz w:val="31"/>
          <w:szCs w:val="31"/>
          <w:bdr w:val="none" w:color="auto" w:sz="0" w:space="0"/>
          <w:shd w:val="clear" w:fill="FFFFFF"/>
        </w:rPr>
        <w:t>充分开展尽职调查，通过各类信用信息平台、第三方调查等方式，审查合作方资格资质信誉，选择经营管理水平高、资质信誉好的参股合作方。</w:t>
      </w:r>
    </w:p>
    <w:p w14:paraId="13B4A3D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firstLine="690" w:firstLineChars="200"/>
        <w:jc w:val="both"/>
        <w:rPr>
          <w:rFonts w:hint="eastAsia" w:ascii="Microsoft YaHei UI" w:hAnsi="Microsoft YaHei UI" w:eastAsia="Microsoft YaHei UI" w:cs="Microsoft YaHei UI"/>
          <w:i w:val="0"/>
          <w:iCs w:val="0"/>
          <w:caps w:val="0"/>
          <w:spacing w:val="8"/>
          <w:sz w:val="25"/>
          <w:szCs w:val="25"/>
        </w:rPr>
      </w:pPr>
      <w:r>
        <w:rPr>
          <w:rFonts w:hint="eastAsia" w:ascii="仿宋" w:hAnsi="仿宋" w:eastAsia="仿宋" w:cs="仿宋"/>
          <w:i w:val="0"/>
          <w:iCs w:val="0"/>
          <w:caps w:val="0"/>
          <w:color w:val="000000"/>
          <w:spacing w:val="15"/>
          <w:sz w:val="31"/>
          <w:szCs w:val="31"/>
          <w:bdr w:val="none" w:color="auto" w:sz="0" w:space="0"/>
          <w:shd w:val="clear" w:fill="FFFFFF"/>
        </w:rPr>
        <w:t>不得选择与集团公司及各级子企业领导人员存在特定关系(配偶、子女及其配偶等亲属关系，以及共同利益关系等)的合作方。</w:t>
      </w:r>
    </w:p>
    <w:p w14:paraId="4F43EED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firstLine="692" w:firstLineChars="200"/>
        <w:jc w:val="both"/>
        <w:rPr>
          <w:rFonts w:hint="eastAsia" w:ascii="Microsoft YaHei UI" w:hAnsi="Microsoft YaHei UI" w:eastAsia="Microsoft YaHei UI" w:cs="Microsoft YaHei UI"/>
          <w:i w:val="0"/>
          <w:iCs w:val="0"/>
          <w:caps w:val="0"/>
          <w:spacing w:val="8"/>
          <w:sz w:val="25"/>
          <w:szCs w:val="25"/>
        </w:rPr>
      </w:pPr>
      <w:r>
        <w:rPr>
          <w:rStyle w:val="5"/>
          <w:rFonts w:hint="eastAsia" w:ascii="仿宋" w:hAnsi="仿宋" w:eastAsia="仿宋" w:cs="仿宋"/>
          <w:i w:val="0"/>
          <w:iCs w:val="0"/>
          <w:caps w:val="0"/>
          <w:color w:val="000000"/>
          <w:spacing w:val="15"/>
          <w:sz w:val="31"/>
          <w:szCs w:val="31"/>
          <w:bdr w:val="none" w:color="auto" w:sz="0" w:space="0"/>
          <w:shd w:val="clear" w:fill="FFFFFF"/>
        </w:rPr>
        <w:t>第八条</w:t>
      </w:r>
      <w:r>
        <w:rPr>
          <w:rFonts w:hint="eastAsia" w:ascii="仿宋" w:hAnsi="仿宋" w:eastAsia="仿宋" w:cs="仿宋"/>
          <w:i w:val="0"/>
          <w:iCs w:val="0"/>
          <w:caps w:val="0"/>
          <w:color w:val="000000"/>
          <w:spacing w:val="15"/>
          <w:sz w:val="31"/>
          <w:szCs w:val="31"/>
          <w:bdr w:val="none" w:color="auto" w:sz="0" w:space="0"/>
          <w:shd w:val="clear" w:fill="FFFFFF"/>
        </w:rPr>
        <w:t> 结合经营发展需要，合理确定持股比例和股权结构。达到一定持股比例的参股投资，原则上应当享有提名董事的权利。</w:t>
      </w:r>
    </w:p>
    <w:p w14:paraId="2EBF184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firstLine="690" w:firstLineChars="200"/>
        <w:jc w:val="both"/>
        <w:rPr>
          <w:rFonts w:hint="eastAsia" w:ascii="Microsoft YaHei UI" w:hAnsi="Microsoft YaHei UI" w:eastAsia="Microsoft YaHei UI" w:cs="Microsoft YaHei UI"/>
          <w:i w:val="0"/>
          <w:iCs w:val="0"/>
          <w:caps w:val="0"/>
          <w:spacing w:val="8"/>
          <w:sz w:val="25"/>
          <w:szCs w:val="25"/>
        </w:rPr>
      </w:pPr>
      <w:r>
        <w:rPr>
          <w:rFonts w:hint="eastAsia" w:ascii="仿宋" w:hAnsi="仿宋" w:eastAsia="仿宋" w:cs="仿宋"/>
          <w:i w:val="0"/>
          <w:iCs w:val="0"/>
          <w:caps w:val="0"/>
          <w:color w:val="000000"/>
          <w:spacing w:val="15"/>
          <w:sz w:val="31"/>
          <w:szCs w:val="31"/>
          <w:bdr w:val="none" w:color="auto" w:sz="0" w:space="0"/>
          <w:shd w:val="clear" w:fill="FFFFFF"/>
        </w:rPr>
        <w:t>不得以股权代持、“名为参股合作、实为借贷融资”的名股实债方式开展参股合作。</w:t>
      </w:r>
    </w:p>
    <w:p w14:paraId="316D5F8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firstLine="692" w:firstLineChars="200"/>
        <w:jc w:val="both"/>
        <w:rPr>
          <w:rFonts w:hint="eastAsia" w:ascii="Microsoft YaHei UI" w:hAnsi="Microsoft YaHei UI" w:eastAsia="Microsoft YaHei UI" w:cs="Microsoft YaHei UI"/>
          <w:i w:val="0"/>
          <w:iCs w:val="0"/>
          <w:caps w:val="0"/>
          <w:spacing w:val="8"/>
          <w:sz w:val="25"/>
          <w:szCs w:val="25"/>
        </w:rPr>
      </w:pPr>
      <w:r>
        <w:rPr>
          <w:rStyle w:val="5"/>
          <w:rFonts w:hint="eastAsia" w:ascii="仿宋" w:hAnsi="仿宋" w:eastAsia="仿宋" w:cs="仿宋"/>
          <w:i w:val="0"/>
          <w:iCs w:val="0"/>
          <w:caps w:val="0"/>
          <w:color w:val="000000"/>
          <w:spacing w:val="15"/>
          <w:sz w:val="31"/>
          <w:szCs w:val="31"/>
          <w:bdr w:val="none" w:color="auto" w:sz="0" w:space="0"/>
          <w:shd w:val="clear" w:fill="FFFFFF"/>
        </w:rPr>
        <w:t>第九条</w:t>
      </w:r>
      <w:r>
        <w:rPr>
          <w:rFonts w:hint="eastAsia" w:ascii="仿宋" w:hAnsi="仿宋" w:eastAsia="仿宋" w:cs="仿宋"/>
          <w:i w:val="0"/>
          <w:iCs w:val="0"/>
          <w:caps w:val="0"/>
          <w:color w:val="000000"/>
          <w:spacing w:val="15"/>
          <w:sz w:val="31"/>
          <w:szCs w:val="31"/>
          <w:bdr w:val="none" w:color="auto" w:sz="0" w:space="0"/>
          <w:shd w:val="clear" w:fill="FFFFFF"/>
        </w:rPr>
        <w:t> 按照法律法规等有关规定，协调推进各方股东在参股企业章程中明确各治理主体的设置和权责边界，促进参股企业 建立权责法定、权责透明、协调运转、有效制衡的公司治理机制，建立健全中国特色现代企业制度。</w:t>
      </w:r>
    </w:p>
    <w:p w14:paraId="471D4F2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firstLine="692" w:firstLineChars="200"/>
        <w:jc w:val="both"/>
        <w:rPr>
          <w:rFonts w:hint="eastAsia" w:ascii="Microsoft YaHei UI" w:hAnsi="Microsoft YaHei UI" w:eastAsia="Microsoft YaHei UI" w:cs="Microsoft YaHei UI"/>
          <w:i w:val="0"/>
          <w:iCs w:val="0"/>
          <w:caps w:val="0"/>
          <w:spacing w:val="8"/>
          <w:sz w:val="25"/>
          <w:szCs w:val="25"/>
        </w:rPr>
      </w:pPr>
      <w:r>
        <w:rPr>
          <w:rStyle w:val="5"/>
          <w:rFonts w:hint="eastAsia" w:ascii="仿宋" w:hAnsi="仿宋" w:eastAsia="仿宋" w:cs="仿宋"/>
          <w:i w:val="0"/>
          <w:iCs w:val="0"/>
          <w:caps w:val="0"/>
          <w:color w:val="000000"/>
          <w:spacing w:val="15"/>
          <w:sz w:val="31"/>
          <w:szCs w:val="31"/>
          <w:bdr w:val="none" w:color="auto" w:sz="0" w:space="0"/>
          <w:shd w:val="clear" w:fill="FFFFFF"/>
        </w:rPr>
        <w:t>第十条 </w:t>
      </w:r>
      <w:r>
        <w:rPr>
          <w:rFonts w:hint="eastAsia" w:ascii="仿宋" w:hAnsi="仿宋" w:eastAsia="仿宋" w:cs="仿宋"/>
          <w:i w:val="0"/>
          <w:iCs w:val="0"/>
          <w:caps w:val="0"/>
          <w:color w:val="000000"/>
          <w:spacing w:val="15"/>
          <w:sz w:val="31"/>
          <w:szCs w:val="31"/>
          <w:bdr w:val="none" w:color="auto" w:sz="0" w:space="0"/>
          <w:shd w:val="clear" w:fill="FFFFFF"/>
        </w:rPr>
        <w:t>通过投资协议或参股企业章程、议事规则等制度文件，依法合规、科学合理约定各方股东权利义务，并结合实际明确 分红权、人员委派、高级管理人员薪酬激励、审计监督、信息披露、安全生产、特定事项否决权及股权退出等重点事项，避免对参股股权管理失控，有效维护国有股东权益。</w:t>
      </w:r>
    </w:p>
    <w:p w14:paraId="3C2C325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firstLine="692" w:firstLineChars="200"/>
        <w:jc w:val="both"/>
        <w:rPr>
          <w:rFonts w:hint="eastAsia" w:ascii="Microsoft YaHei UI" w:hAnsi="Microsoft YaHei UI" w:eastAsia="Microsoft YaHei UI" w:cs="Microsoft YaHei UI"/>
          <w:i w:val="0"/>
          <w:iCs w:val="0"/>
          <w:caps w:val="0"/>
          <w:spacing w:val="8"/>
          <w:sz w:val="25"/>
          <w:szCs w:val="25"/>
        </w:rPr>
      </w:pPr>
      <w:r>
        <w:rPr>
          <w:rStyle w:val="5"/>
          <w:rFonts w:hint="eastAsia" w:ascii="仿宋" w:hAnsi="仿宋" w:eastAsia="仿宋" w:cs="仿宋"/>
          <w:i w:val="0"/>
          <w:iCs w:val="0"/>
          <w:caps w:val="0"/>
          <w:color w:val="000000"/>
          <w:spacing w:val="15"/>
          <w:sz w:val="31"/>
          <w:szCs w:val="31"/>
          <w:bdr w:val="none" w:color="auto" w:sz="0" w:space="0"/>
          <w:shd w:val="clear" w:fill="FFFFFF"/>
        </w:rPr>
        <w:t>第十一条</w:t>
      </w:r>
      <w:r>
        <w:rPr>
          <w:rFonts w:hint="eastAsia" w:ascii="仿宋" w:hAnsi="仿宋" w:eastAsia="仿宋" w:cs="仿宋"/>
          <w:i w:val="0"/>
          <w:iCs w:val="0"/>
          <w:caps w:val="0"/>
          <w:color w:val="000000"/>
          <w:spacing w:val="15"/>
          <w:sz w:val="31"/>
          <w:szCs w:val="31"/>
          <w:bdr w:val="none" w:color="auto" w:sz="0" w:space="0"/>
          <w:shd w:val="clear" w:fill="FFFFFF"/>
        </w:rPr>
        <w:t> 严格落实国有资产投资监督管理有关要求，健全参股投资决策机制，强化投资决策统一管理。参股投资决策权向下授权应当作为重大经营管理事项经党委(党组)前置研究讨论，由董事会或未设董事会的经理层决定，授权的企业管理层级原则上不超过两级。达到一定额度的参股投资，应当纳入“三重一大”范围，由集团公司决策。</w:t>
      </w:r>
    </w:p>
    <w:p w14:paraId="7A4CF0D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firstLine="692" w:firstLineChars="200"/>
        <w:jc w:val="both"/>
        <w:rPr>
          <w:rFonts w:hint="eastAsia" w:ascii="Microsoft YaHei UI" w:hAnsi="Microsoft YaHei UI" w:eastAsia="Microsoft YaHei UI" w:cs="Microsoft YaHei UI"/>
          <w:i w:val="0"/>
          <w:iCs w:val="0"/>
          <w:caps w:val="0"/>
          <w:spacing w:val="8"/>
          <w:sz w:val="25"/>
          <w:szCs w:val="25"/>
        </w:rPr>
      </w:pPr>
      <w:r>
        <w:rPr>
          <w:rStyle w:val="5"/>
          <w:rFonts w:hint="eastAsia" w:ascii="仿宋" w:hAnsi="仿宋" w:eastAsia="仿宋" w:cs="仿宋"/>
          <w:i w:val="0"/>
          <w:iCs w:val="0"/>
          <w:caps w:val="0"/>
          <w:color w:val="000000"/>
          <w:spacing w:val="15"/>
          <w:sz w:val="31"/>
          <w:szCs w:val="31"/>
          <w:bdr w:val="none" w:color="auto" w:sz="0" w:space="0"/>
          <w:shd w:val="clear" w:fill="FFFFFF"/>
        </w:rPr>
        <w:t>第十二条</w:t>
      </w:r>
      <w:r>
        <w:rPr>
          <w:rFonts w:hint="eastAsia" w:ascii="仿宋" w:hAnsi="仿宋" w:eastAsia="仿宋" w:cs="仿宋"/>
          <w:i w:val="0"/>
          <w:iCs w:val="0"/>
          <w:caps w:val="0"/>
          <w:color w:val="000000"/>
          <w:spacing w:val="15"/>
          <w:sz w:val="31"/>
          <w:szCs w:val="31"/>
          <w:bdr w:val="none" w:color="auto" w:sz="0" w:space="0"/>
          <w:shd w:val="clear" w:fill="FFFFFF"/>
        </w:rPr>
        <w:t> 国有企业作为参股股东与其他股东共同出资新设企业，不得对其他股东出资提供垫资，不得先于其他股东缴纳出资，另有规定的除外。</w:t>
      </w:r>
    </w:p>
    <w:p w14:paraId="7689171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firstLine="690" w:firstLineChars="200"/>
        <w:jc w:val="both"/>
        <w:rPr>
          <w:rFonts w:hint="eastAsia" w:ascii="Microsoft YaHei UI" w:hAnsi="Microsoft YaHei UI" w:eastAsia="Microsoft YaHei UI" w:cs="Microsoft YaHei UI"/>
          <w:i w:val="0"/>
          <w:iCs w:val="0"/>
          <w:caps w:val="0"/>
          <w:spacing w:val="8"/>
          <w:sz w:val="25"/>
          <w:szCs w:val="25"/>
        </w:rPr>
      </w:pPr>
      <w:r>
        <w:rPr>
          <w:rFonts w:hint="eastAsia" w:ascii="仿宋" w:hAnsi="仿宋" w:eastAsia="仿宋" w:cs="仿宋"/>
          <w:i w:val="0"/>
          <w:iCs w:val="0"/>
          <w:caps w:val="0"/>
          <w:color w:val="000000"/>
          <w:spacing w:val="15"/>
          <w:sz w:val="31"/>
          <w:szCs w:val="31"/>
          <w:bdr w:val="none" w:color="auto" w:sz="0" w:space="0"/>
          <w:shd w:val="clear" w:fill="FFFFFF"/>
        </w:rPr>
        <w:t>以非货币性资产作价出资的，应当以公允合理的方式确定国有资产价值。其他股东未按约定缴纳出资的，国有企业应当及时了解情况，采取有效措施防范风险。</w:t>
      </w:r>
    </w:p>
    <w:p w14:paraId="36FF0DC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firstLine="692" w:firstLineChars="200"/>
        <w:jc w:val="center"/>
        <w:rPr>
          <w:rFonts w:hint="eastAsia" w:ascii="Microsoft YaHei UI" w:hAnsi="Microsoft YaHei UI" w:eastAsia="Microsoft YaHei UI" w:cs="Microsoft YaHei UI"/>
          <w:i w:val="0"/>
          <w:iCs w:val="0"/>
          <w:caps w:val="0"/>
          <w:spacing w:val="8"/>
          <w:sz w:val="25"/>
          <w:szCs w:val="25"/>
        </w:rPr>
      </w:pPr>
      <w:r>
        <w:rPr>
          <w:rStyle w:val="5"/>
          <w:rFonts w:hint="eastAsia" w:ascii="仿宋" w:hAnsi="仿宋" w:eastAsia="仿宋" w:cs="仿宋"/>
          <w:i w:val="0"/>
          <w:iCs w:val="0"/>
          <w:caps w:val="0"/>
          <w:color w:val="000000"/>
          <w:spacing w:val="15"/>
          <w:sz w:val="31"/>
          <w:szCs w:val="31"/>
          <w:bdr w:val="none" w:color="auto" w:sz="0" w:space="0"/>
          <w:shd w:val="clear" w:fill="FFFFFF"/>
        </w:rPr>
        <w:t>第三章 参股股权经营管理</w:t>
      </w:r>
    </w:p>
    <w:p w14:paraId="08E7B4F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firstLine="692" w:firstLineChars="200"/>
        <w:jc w:val="both"/>
        <w:rPr>
          <w:rFonts w:hint="eastAsia" w:ascii="Microsoft YaHei UI" w:hAnsi="Microsoft YaHei UI" w:eastAsia="Microsoft YaHei UI" w:cs="Microsoft YaHei UI"/>
          <w:i w:val="0"/>
          <w:iCs w:val="0"/>
          <w:caps w:val="0"/>
          <w:spacing w:val="8"/>
          <w:sz w:val="25"/>
          <w:szCs w:val="25"/>
        </w:rPr>
      </w:pPr>
      <w:r>
        <w:rPr>
          <w:rStyle w:val="5"/>
          <w:rFonts w:hint="eastAsia" w:ascii="仿宋" w:hAnsi="仿宋" w:eastAsia="仿宋" w:cs="仿宋"/>
          <w:i w:val="0"/>
          <w:iCs w:val="0"/>
          <w:caps w:val="0"/>
          <w:color w:val="000000"/>
          <w:spacing w:val="15"/>
          <w:sz w:val="31"/>
          <w:szCs w:val="31"/>
          <w:bdr w:val="none" w:color="auto" w:sz="0" w:space="0"/>
          <w:shd w:val="clear" w:fill="FFFFFF"/>
        </w:rPr>
        <w:t>第十三条</w:t>
      </w:r>
      <w:r>
        <w:rPr>
          <w:rFonts w:hint="eastAsia" w:ascii="仿宋" w:hAnsi="仿宋" w:eastAsia="仿宋" w:cs="仿宋"/>
          <w:i w:val="0"/>
          <w:iCs w:val="0"/>
          <w:caps w:val="0"/>
          <w:color w:val="000000"/>
          <w:spacing w:val="15"/>
          <w:sz w:val="31"/>
          <w:szCs w:val="31"/>
          <w:bdr w:val="none" w:color="auto" w:sz="0" w:space="0"/>
          <w:shd w:val="clear" w:fill="FFFFFF"/>
        </w:rPr>
        <w:t> 明确具体负责部门，对参股股权进行归口管理，建立参股经营投资台账，加强基础管理，全面准确掌握参股企业基本情况。</w:t>
      </w:r>
    </w:p>
    <w:p w14:paraId="72B237F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firstLine="690" w:firstLineChars="200"/>
        <w:jc w:val="both"/>
        <w:rPr>
          <w:rFonts w:hint="eastAsia" w:ascii="Microsoft YaHei UI" w:hAnsi="Microsoft YaHei UI" w:eastAsia="Microsoft YaHei UI" w:cs="Microsoft YaHei UI"/>
          <w:i w:val="0"/>
          <w:iCs w:val="0"/>
          <w:caps w:val="0"/>
          <w:spacing w:val="8"/>
          <w:sz w:val="25"/>
          <w:szCs w:val="25"/>
        </w:rPr>
      </w:pPr>
      <w:r>
        <w:rPr>
          <w:rFonts w:hint="eastAsia" w:ascii="仿宋" w:hAnsi="仿宋" w:eastAsia="仿宋" w:cs="仿宋"/>
          <w:i w:val="0"/>
          <w:iCs w:val="0"/>
          <w:caps w:val="0"/>
          <w:color w:val="000000"/>
          <w:spacing w:val="15"/>
          <w:sz w:val="31"/>
          <w:szCs w:val="31"/>
          <w:bdr w:val="none" w:color="auto" w:sz="0" w:space="0"/>
          <w:shd w:val="clear" w:fill="FFFFFF"/>
        </w:rPr>
        <w:t>结合企业实际建立重要参股企业名单，将没有实际控制力但作为第一大股东以及其他持股比例较高的参股企业纳入其中，探索实施差异化管理。</w:t>
      </w:r>
    </w:p>
    <w:p w14:paraId="432F852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firstLine="692" w:firstLineChars="200"/>
        <w:jc w:val="both"/>
        <w:rPr>
          <w:rFonts w:hint="eastAsia" w:ascii="Microsoft YaHei UI" w:hAnsi="Microsoft YaHei UI" w:eastAsia="Microsoft YaHei UI" w:cs="Microsoft YaHei UI"/>
          <w:i w:val="0"/>
          <w:iCs w:val="0"/>
          <w:caps w:val="0"/>
          <w:spacing w:val="8"/>
          <w:sz w:val="25"/>
          <w:szCs w:val="25"/>
        </w:rPr>
      </w:pPr>
      <w:r>
        <w:rPr>
          <w:rStyle w:val="5"/>
          <w:rFonts w:hint="eastAsia" w:ascii="仿宋" w:hAnsi="仿宋" w:eastAsia="仿宋" w:cs="仿宋"/>
          <w:i w:val="0"/>
          <w:iCs w:val="0"/>
          <w:caps w:val="0"/>
          <w:color w:val="000000"/>
          <w:spacing w:val="15"/>
          <w:sz w:val="31"/>
          <w:szCs w:val="31"/>
          <w:bdr w:val="none" w:color="auto" w:sz="0" w:space="0"/>
          <w:shd w:val="clear" w:fill="FFFFFF"/>
        </w:rPr>
        <w:t>第十四条 </w:t>
      </w:r>
      <w:r>
        <w:rPr>
          <w:rFonts w:hint="eastAsia" w:ascii="仿宋" w:hAnsi="仿宋" w:eastAsia="仿宋" w:cs="仿宋"/>
          <w:i w:val="0"/>
          <w:iCs w:val="0"/>
          <w:caps w:val="0"/>
          <w:color w:val="000000"/>
          <w:spacing w:val="15"/>
          <w:sz w:val="31"/>
          <w:szCs w:val="31"/>
          <w:bdr w:val="none" w:color="auto" w:sz="0" w:space="0"/>
          <w:shd w:val="clear" w:fill="FFFFFF"/>
        </w:rPr>
        <w:t>依据参股企业公司章程，选派股东代表、董事监事或者重要岗位人员，积极发挥股东作用，有效履行股东权责。加强选派人员管理，建立健全选聘、履职、考核和轮换等制度，确保派出人员具备相应的专业素质和履职能力。</w:t>
      </w:r>
    </w:p>
    <w:p w14:paraId="030927A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firstLine="692" w:firstLineChars="200"/>
        <w:jc w:val="both"/>
        <w:rPr>
          <w:rFonts w:hint="eastAsia" w:ascii="Microsoft YaHei UI" w:hAnsi="Microsoft YaHei UI" w:eastAsia="Microsoft YaHei UI" w:cs="Microsoft YaHei UI"/>
          <w:i w:val="0"/>
          <w:iCs w:val="0"/>
          <w:caps w:val="0"/>
          <w:spacing w:val="8"/>
          <w:sz w:val="25"/>
          <w:szCs w:val="25"/>
        </w:rPr>
      </w:pPr>
      <w:r>
        <w:rPr>
          <w:rStyle w:val="5"/>
          <w:rFonts w:hint="eastAsia" w:ascii="仿宋" w:hAnsi="仿宋" w:eastAsia="仿宋" w:cs="仿宋"/>
          <w:i w:val="0"/>
          <w:iCs w:val="0"/>
          <w:caps w:val="0"/>
          <w:color w:val="000000"/>
          <w:spacing w:val="15"/>
          <w:sz w:val="31"/>
          <w:szCs w:val="31"/>
          <w:bdr w:val="none" w:color="auto" w:sz="0" w:space="0"/>
          <w:shd w:val="clear" w:fill="FFFFFF"/>
        </w:rPr>
        <w:t>第十五条</w:t>
      </w:r>
      <w:r>
        <w:rPr>
          <w:rFonts w:hint="eastAsia" w:ascii="仿宋" w:hAnsi="仿宋" w:eastAsia="仿宋" w:cs="仿宋"/>
          <w:i w:val="0"/>
          <w:iCs w:val="0"/>
          <w:caps w:val="0"/>
          <w:color w:val="000000"/>
          <w:spacing w:val="15"/>
          <w:sz w:val="31"/>
          <w:szCs w:val="31"/>
          <w:bdr w:val="none" w:color="auto" w:sz="0" w:space="0"/>
          <w:shd w:val="clear" w:fill="FFFFFF"/>
        </w:rPr>
        <w:t> 国有企业向参股企业的派出人员应当认真勤勉履职，推动参股企业按照规定召开股东(大)会、董事会等研究决策相关事项，及时掌握并向派出企业报告重大事项，并定期向派出企业述职，每年至少1次。</w:t>
      </w:r>
    </w:p>
    <w:p w14:paraId="1156315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firstLine="692" w:firstLineChars="200"/>
        <w:jc w:val="both"/>
        <w:rPr>
          <w:rFonts w:hint="eastAsia" w:ascii="Microsoft YaHei UI" w:hAnsi="Microsoft YaHei UI" w:eastAsia="Microsoft YaHei UI" w:cs="Microsoft YaHei UI"/>
          <w:i w:val="0"/>
          <w:iCs w:val="0"/>
          <w:caps w:val="0"/>
          <w:spacing w:val="8"/>
          <w:sz w:val="25"/>
          <w:szCs w:val="25"/>
        </w:rPr>
      </w:pPr>
      <w:r>
        <w:rPr>
          <w:rStyle w:val="5"/>
          <w:rFonts w:hint="eastAsia" w:ascii="仿宋" w:hAnsi="仿宋" w:eastAsia="仿宋" w:cs="仿宋"/>
          <w:i w:val="0"/>
          <w:iCs w:val="0"/>
          <w:caps w:val="0"/>
          <w:color w:val="000000"/>
          <w:spacing w:val="15"/>
          <w:sz w:val="31"/>
          <w:szCs w:val="31"/>
          <w:bdr w:val="none" w:color="auto" w:sz="0" w:space="0"/>
          <w:shd w:val="clear" w:fill="FFFFFF"/>
        </w:rPr>
        <w:t>第十六条</w:t>
      </w:r>
      <w:r>
        <w:rPr>
          <w:rFonts w:hint="eastAsia" w:ascii="仿宋" w:hAnsi="仿宋" w:eastAsia="仿宋" w:cs="仿宋"/>
          <w:i w:val="0"/>
          <w:iCs w:val="0"/>
          <w:caps w:val="0"/>
          <w:color w:val="000000"/>
          <w:spacing w:val="15"/>
          <w:sz w:val="31"/>
          <w:szCs w:val="31"/>
          <w:bdr w:val="none" w:color="auto" w:sz="0" w:space="0"/>
          <w:shd w:val="clear" w:fill="FFFFFF"/>
        </w:rPr>
        <w:t> 积极参与参股企业重要事项决策，对参股企业章程重要条款修订、重大投融资、重大担保、重大产权变动、高级管理人员变动和薪酬激励及公司合并、分立、变更、解散等事项，应当深入研究论证，充分表达国有股东意见。</w:t>
      </w:r>
    </w:p>
    <w:p w14:paraId="1F2805F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firstLine="692" w:firstLineChars="200"/>
        <w:jc w:val="both"/>
        <w:rPr>
          <w:rFonts w:hint="eastAsia" w:ascii="Microsoft YaHei UI" w:hAnsi="Microsoft YaHei UI" w:eastAsia="Microsoft YaHei UI" w:cs="Microsoft YaHei UI"/>
          <w:i w:val="0"/>
          <w:iCs w:val="0"/>
          <w:caps w:val="0"/>
          <w:spacing w:val="8"/>
          <w:sz w:val="25"/>
          <w:szCs w:val="25"/>
        </w:rPr>
      </w:pPr>
      <w:r>
        <w:rPr>
          <w:rStyle w:val="5"/>
          <w:rFonts w:hint="eastAsia" w:ascii="仿宋" w:hAnsi="仿宋" w:eastAsia="仿宋" w:cs="仿宋"/>
          <w:i w:val="0"/>
          <w:iCs w:val="0"/>
          <w:caps w:val="0"/>
          <w:color w:val="000000"/>
          <w:spacing w:val="15"/>
          <w:sz w:val="31"/>
          <w:szCs w:val="31"/>
          <w:bdr w:val="none" w:color="auto" w:sz="0" w:space="0"/>
          <w:shd w:val="clear" w:fill="FFFFFF"/>
        </w:rPr>
        <w:t>第十七条</w:t>
      </w:r>
      <w:r>
        <w:rPr>
          <w:rFonts w:hint="eastAsia" w:ascii="仿宋" w:hAnsi="仿宋" w:eastAsia="仿宋" w:cs="仿宋"/>
          <w:i w:val="0"/>
          <w:iCs w:val="0"/>
          <w:caps w:val="0"/>
          <w:color w:val="000000"/>
          <w:spacing w:val="15"/>
          <w:sz w:val="31"/>
          <w:szCs w:val="31"/>
          <w:bdr w:val="none" w:color="auto" w:sz="0" w:space="0"/>
          <w:shd w:val="clear" w:fill="FFFFFF"/>
        </w:rPr>
        <w:t> 加强运行监测和风险管控，及时掌握参股企业经营情况，发现异常要深入剖析原因，积极采取应对措施，防范化解风险隐患。</w:t>
      </w:r>
    </w:p>
    <w:p w14:paraId="258104A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firstLine="690" w:firstLineChars="200"/>
        <w:jc w:val="both"/>
        <w:rPr>
          <w:rFonts w:hint="eastAsia" w:ascii="Microsoft YaHei UI" w:hAnsi="Microsoft YaHei UI" w:eastAsia="Microsoft YaHei UI" w:cs="Microsoft YaHei UI"/>
          <w:i w:val="0"/>
          <w:iCs w:val="0"/>
          <w:caps w:val="0"/>
          <w:spacing w:val="8"/>
          <w:sz w:val="25"/>
          <w:szCs w:val="25"/>
        </w:rPr>
      </w:pPr>
      <w:r>
        <w:rPr>
          <w:rFonts w:hint="eastAsia" w:ascii="仿宋" w:hAnsi="仿宋" w:eastAsia="仿宋" w:cs="仿宋"/>
          <w:i w:val="0"/>
          <w:iCs w:val="0"/>
          <w:caps w:val="0"/>
          <w:color w:val="000000"/>
          <w:spacing w:val="15"/>
          <w:sz w:val="31"/>
          <w:szCs w:val="31"/>
          <w:bdr w:val="none" w:color="auto" w:sz="0" w:space="0"/>
          <w:shd w:val="clear" w:fill="FFFFFF"/>
        </w:rPr>
        <w:t>发现可能导致企业生产经营条件和市场环境发生特别重大变化并影响企业可持续发展等重大风险或重大损失的，应当按照有关规定及时向同级国有资产监督管理机构报告。</w:t>
      </w:r>
    </w:p>
    <w:p w14:paraId="44B2845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firstLine="692" w:firstLineChars="200"/>
        <w:jc w:val="both"/>
        <w:rPr>
          <w:rFonts w:hint="eastAsia" w:ascii="Microsoft YaHei UI" w:hAnsi="Microsoft YaHei UI" w:eastAsia="Microsoft YaHei UI" w:cs="Microsoft YaHei UI"/>
          <w:i w:val="0"/>
          <w:iCs w:val="0"/>
          <w:caps w:val="0"/>
          <w:spacing w:val="8"/>
          <w:sz w:val="25"/>
          <w:szCs w:val="25"/>
        </w:rPr>
      </w:pPr>
      <w:r>
        <w:rPr>
          <w:rStyle w:val="5"/>
          <w:rFonts w:hint="eastAsia" w:ascii="仿宋" w:hAnsi="仿宋" w:eastAsia="仿宋" w:cs="仿宋"/>
          <w:i w:val="0"/>
          <w:iCs w:val="0"/>
          <w:caps w:val="0"/>
          <w:color w:val="000000"/>
          <w:spacing w:val="15"/>
          <w:sz w:val="31"/>
          <w:szCs w:val="31"/>
          <w:bdr w:val="none" w:color="auto" w:sz="0" w:space="0"/>
          <w:shd w:val="clear" w:fill="FFFFFF"/>
        </w:rPr>
        <w:t>第十八条</w:t>
      </w:r>
      <w:r>
        <w:rPr>
          <w:rFonts w:hint="eastAsia" w:ascii="仿宋" w:hAnsi="仿宋" w:eastAsia="仿宋" w:cs="仿宋"/>
          <w:i w:val="0"/>
          <w:iCs w:val="0"/>
          <w:caps w:val="0"/>
          <w:color w:val="000000"/>
          <w:spacing w:val="15"/>
          <w:sz w:val="31"/>
          <w:szCs w:val="31"/>
          <w:bdr w:val="none" w:color="auto" w:sz="0" w:space="0"/>
          <w:shd w:val="clear" w:fill="FFFFFF"/>
        </w:rPr>
        <w:t> 加强财务管控，及时获取参股企业财务报告，掌握财务状况、经营成果等信息。注重投资回报，根据公司章程等督促参股企业及时分红。</w:t>
      </w:r>
    </w:p>
    <w:p w14:paraId="476DCB7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firstLine="690" w:firstLineChars="200"/>
        <w:jc w:val="both"/>
        <w:rPr>
          <w:rFonts w:hint="eastAsia" w:ascii="Microsoft YaHei UI" w:hAnsi="Microsoft YaHei UI" w:eastAsia="Microsoft YaHei UI" w:cs="Microsoft YaHei UI"/>
          <w:i w:val="0"/>
          <w:iCs w:val="0"/>
          <w:caps w:val="0"/>
          <w:spacing w:val="8"/>
          <w:sz w:val="25"/>
          <w:szCs w:val="25"/>
        </w:rPr>
      </w:pPr>
      <w:r>
        <w:rPr>
          <w:rFonts w:hint="eastAsia" w:ascii="仿宋" w:hAnsi="仿宋" w:eastAsia="仿宋" w:cs="仿宋"/>
          <w:i w:val="0"/>
          <w:iCs w:val="0"/>
          <w:caps w:val="0"/>
          <w:color w:val="000000"/>
          <w:spacing w:val="15"/>
          <w:sz w:val="31"/>
          <w:szCs w:val="31"/>
          <w:bdr w:val="none" w:color="auto" w:sz="0" w:space="0"/>
          <w:shd w:val="clear" w:fill="FFFFFF"/>
        </w:rPr>
        <w:t>严格控制对参股企业提供担保，确需提供的，应当严格履行决策程序，且不得超股权比例提供担保。</w:t>
      </w:r>
    </w:p>
    <w:p w14:paraId="1AEB667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firstLine="690" w:firstLineChars="200"/>
        <w:jc w:val="both"/>
        <w:rPr>
          <w:rFonts w:hint="eastAsia" w:ascii="Microsoft YaHei UI" w:hAnsi="Microsoft YaHei UI" w:eastAsia="Microsoft YaHei UI" w:cs="Microsoft YaHei UI"/>
          <w:i w:val="0"/>
          <w:iCs w:val="0"/>
          <w:caps w:val="0"/>
          <w:spacing w:val="8"/>
          <w:sz w:val="25"/>
          <w:szCs w:val="25"/>
        </w:rPr>
      </w:pPr>
      <w:r>
        <w:rPr>
          <w:rFonts w:hint="eastAsia" w:ascii="仿宋" w:hAnsi="仿宋" w:eastAsia="仿宋" w:cs="仿宋"/>
          <w:i w:val="0"/>
          <w:iCs w:val="0"/>
          <w:caps w:val="0"/>
          <w:color w:val="000000"/>
          <w:spacing w:val="15"/>
          <w:sz w:val="31"/>
          <w:szCs w:val="31"/>
          <w:bdr w:val="none" w:color="auto" w:sz="0" w:space="0"/>
          <w:shd w:val="clear" w:fill="FFFFFF"/>
        </w:rPr>
        <w:t>对于投资额大、关联交易占比高、应收账款金额大或账龄长的参股企业，应当加强风险排查。</w:t>
      </w:r>
    </w:p>
    <w:p w14:paraId="38A60EE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firstLine="692" w:firstLineChars="200"/>
        <w:jc w:val="both"/>
        <w:rPr>
          <w:rFonts w:hint="eastAsia" w:ascii="Microsoft YaHei UI" w:hAnsi="Microsoft YaHei UI" w:eastAsia="Microsoft YaHei UI" w:cs="Microsoft YaHei UI"/>
          <w:i w:val="0"/>
          <w:iCs w:val="0"/>
          <w:caps w:val="0"/>
          <w:spacing w:val="8"/>
          <w:sz w:val="25"/>
          <w:szCs w:val="25"/>
        </w:rPr>
      </w:pPr>
      <w:r>
        <w:rPr>
          <w:rStyle w:val="5"/>
          <w:rFonts w:hint="eastAsia" w:ascii="仿宋" w:hAnsi="仿宋" w:eastAsia="仿宋" w:cs="仿宋"/>
          <w:i w:val="0"/>
          <w:iCs w:val="0"/>
          <w:caps w:val="0"/>
          <w:color w:val="000000"/>
          <w:spacing w:val="15"/>
          <w:sz w:val="31"/>
          <w:szCs w:val="31"/>
          <w:bdr w:val="none" w:color="auto" w:sz="0" w:space="0"/>
          <w:shd w:val="clear" w:fill="FFFFFF"/>
        </w:rPr>
        <w:t>第十九条</w:t>
      </w:r>
      <w:r>
        <w:rPr>
          <w:rFonts w:hint="eastAsia" w:ascii="仿宋" w:hAnsi="仿宋" w:eastAsia="仿宋" w:cs="仿宋"/>
          <w:i w:val="0"/>
          <w:iCs w:val="0"/>
          <w:caps w:val="0"/>
          <w:color w:val="000000"/>
          <w:spacing w:val="15"/>
          <w:sz w:val="31"/>
          <w:szCs w:val="31"/>
          <w:bdr w:val="none" w:color="auto" w:sz="0" w:space="0"/>
          <w:shd w:val="clear" w:fill="FFFFFF"/>
        </w:rPr>
        <w:t> 建立参股经营投资评估机制，结合企业发展战略、主营业务等，加强对参股企业公司治理、盈利水平、分红能力、增值潜力、与主业关联度等的综合分析，全面评估参股经营投资质量。</w:t>
      </w:r>
    </w:p>
    <w:p w14:paraId="42E0DE1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firstLine="690" w:firstLineChars="200"/>
        <w:jc w:val="both"/>
        <w:rPr>
          <w:rFonts w:hint="eastAsia" w:ascii="Microsoft YaHei UI" w:hAnsi="Microsoft YaHei UI" w:eastAsia="Microsoft YaHei UI" w:cs="Microsoft YaHei UI"/>
          <w:i w:val="0"/>
          <w:iCs w:val="0"/>
          <w:caps w:val="0"/>
          <w:spacing w:val="8"/>
          <w:sz w:val="25"/>
          <w:szCs w:val="25"/>
        </w:rPr>
      </w:pPr>
      <w:r>
        <w:rPr>
          <w:rFonts w:hint="eastAsia" w:ascii="仿宋" w:hAnsi="仿宋" w:eastAsia="仿宋" w:cs="仿宋"/>
          <w:i w:val="0"/>
          <w:iCs w:val="0"/>
          <w:caps w:val="0"/>
          <w:color w:val="000000"/>
          <w:spacing w:val="15"/>
          <w:sz w:val="31"/>
          <w:szCs w:val="31"/>
          <w:bdr w:val="none" w:color="auto" w:sz="0" w:space="0"/>
          <w:shd w:val="clear" w:fill="FFFFFF"/>
        </w:rPr>
        <w:t>根据参股经营投资质量评估等情况，对参股股权实施分类管控，并合理运用增持、减持或退出等方式加强价值管理，不断提高国有资本配置效率。</w:t>
      </w:r>
    </w:p>
    <w:p w14:paraId="2681408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firstLine="692" w:firstLineChars="200"/>
        <w:jc w:val="both"/>
        <w:rPr>
          <w:rFonts w:hint="eastAsia" w:ascii="Microsoft YaHei UI" w:hAnsi="Microsoft YaHei UI" w:eastAsia="Microsoft YaHei UI" w:cs="Microsoft YaHei UI"/>
          <w:i w:val="0"/>
          <w:iCs w:val="0"/>
          <w:caps w:val="0"/>
          <w:spacing w:val="8"/>
          <w:sz w:val="25"/>
          <w:szCs w:val="25"/>
        </w:rPr>
      </w:pPr>
      <w:r>
        <w:rPr>
          <w:rStyle w:val="5"/>
          <w:rFonts w:hint="eastAsia" w:ascii="仿宋" w:hAnsi="仿宋" w:eastAsia="仿宋" w:cs="仿宋"/>
          <w:i w:val="0"/>
          <w:iCs w:val="0"/>
          <w:caps w:val="0"/>
          <w:color w:val="000000"/>
          <w:spacing w:val="15"/>
          <w:sz w:val="31"/>
          <w:szCs w:val="31"/>
          <w:bdr w:val="none" w:color="auto" w:sz="0" w:space="0"/>
          <w:shd w:val="clear" w:fill="FFFFFF"/>
        </w:rPr>
        <w:t>第二十条</w:t>
      </w:r>
      <w:r>
        <w:rPr>
          <w:rFonts w:hint="eastAsia" w:ascii="仿宋" w:hAnsi="仿宋" w:eastAsia="仿宋" w:cs="仿宋"/>
          <w:i w:val="0"/>
          <w:iCs w:val="0"/>
          <w:caps w:val="0"/>
          <w:color w:val="000000"/>
          <w:spacing w:val="15"/>
          <w:sz w:val="31"/>
          <w:szCs w:val="31"/>
          <w:bdr w:val="none" w:color="auto" w:sz="0" w:space="0"/>
          <w:shd w:val="clear" w:fill="FFFFFF"/>
        </w:rPr>
        <w:t> 按照国有产权管理有关规定，及时办理参股股权的产权占有、变动、注销等相关手续，按期进行数据核对，确保参股产权登记的及时性、准确性和完整性。</w:t>
      </w:r>
    </w:p>
    <w:p w14:paraId="3797636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firstLine="690" w:firstLineChars="200"/>
        <w:jc w:val="both"/>
        <w:rPr>
          <w:rFonts w:hint="eastAsia" w:ascii="Microsoft YaHei UI" w:hAnsi="Microsoft YaHei UI" w:eastAsia="Microsoft YaHei UI" w:cs="Microsoft YaHei UI"/>
          <w:i w:val="0"/>
          <w:iCs w:val="0"/>
          <w:caps w:val="0"/>
          <w:spacing w:val="8"/>
          <w:sz w:val="25"/>
          <w:szCs w:val="25"/>
        </w:rPr>
      </w:pPr>
      <w:r>
        <w:rPr>
          <w:rFonts w:hint="eastAsia" w:ascii="仿宋" w:hAnsi="仿宋" w:eastAsia="仿宋" w:cs="仿宋"/>
          <w:i w:val="0"/>
          <w:iCs w:val="0"/>
          <w:caps w:val="0"/>
          <w:color w:val="000000"/>
          <w:spacing w:val="15"/>
          <w:sz w:val="31"/>
          <w:szCs w:val="31"/>
          <w:bdr w:val="none" w:color="auto" w:sz="0" w:space="0"/>
          <w:shd w:val="clear" w:fill="FFFFFF"/>
        </w:rPr>
        <w:t>参股企业通过增资扩股引入其他投资者，国有股东应当在决策过程中，按照国有资产监督管理有关规定就资产评估、进场交易等发表意见。</w:t>
      </w:r>
    </w:p>
    <w:p w14:paraId="704F4CD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firstLine="692" w:firstLineChars="200"/>
        <w:jc w:val="both"/>
        <w:rPr>
          <w:rFonts w:hint="eastAsia" w:ascii="Microsoft YaHei UI" w:hAnsi="Microsoft YaHei UI" w:eastAsia="Microsoft YaHei UI" w:cs="Microsoft YaHei UI"/>
          <w:i w:val="0"/>
          <w:iCs w:val="0"/>
          <w:caps w:val="0"/>
          <w:spacing w:val="8"/>
          <w:sz w:val="25"/>
          <w:szCs w:val="25"/>
        </w:rPr>
      </w:pPr>
      <w:r>
        <w:rPr>
          <w:rStyle w:val="5"/>
          <w:rFonts w:hint="eastAsia" w:ascii="仿宋" w:hAnsi="仿宋" w:eastAsia="仿宋" w:cs="仿宋"/>
          <w:i w:val="0"/>
          <w:iCs w:val="0"/>
          <w:caps w:val="0"/>
          <w:color w:val="000000"/>
          <w:spacing w:val="15"/>
          <w:sz w:val="31"/>
          <w:szCs w:val="31"/>
          <w:bdr w:val="none" w:color="auto" w:sz="0" w:space="0"/>
          <w:shd w:val="clear" w:fill="FFFFFF"/>
        </w:rPr>
        <w:t>第二十一条</w:t>
      </w:r>
      <w:r>
        <w:rPr>
          <w:rFonts w:hint="eastAsia" w:ascii="仿宋" w:hAnsi="仿宋" w:eastAsia="仿宋" w:cs="仿宋"/>
          <w:i w:val="0"/>
          <w:iCs w:val="0"/>
          <w:caps w:val="0"/>
          <w:color w:val="000000"/>
          <w:spacing w:val="15"/>
          <w:sz w:val="31"/>
          <w:szCs w:val="31"/>
          <w:bdr w:val="none" w:color="auto" w:sz="0" w:space="0"/>
          <w:shd w:val="clear" w:fill="FFFFFF"/>
        </w:rPr>
        <w:t> 加强无形资产管理，严格规范无形资产使用，有效维护企业权益和品牌价值。不得将字号、经营资质和特许经营权等提供给参股企业使用。产品注册商标确需授权给参股企业使用的，应当严格授权使用条件和决策审批程序，并采取市场公允价格。</w:t>
      </w:r>
    </w:p>
    <w:p w14:paraId="15200DF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firstLine="690" w:firstLineChars="200"/>
        <w:jc w:val="both"/>
        <w:rPr>
          <w:rFonts w:hint="eastAsia" w:ascii="Microsoft YaHei UI" w:hAnsi="Microsoft YaHei UI" w:eastAsia="Microsoft YaHei UI" w:cs="Microsoft YaHei UI"/>
          <w:i w:val="0"/>
          <w:iCs w:val="0"/>
          <w:caps w:val="0"/>
          <w:spacing w:val="8"/>
          <w:sz w:val="25"/>
          <w:szCs w:val="25"/>
        </w:rPr>
      </w:pPr>
      <w:r>
        <w:rPr>
          <w:rFonts w:hint="eastAsia" w:ascii="仿宋" w:hAnsi="仿宋" w:eastAsia="仿宋" w:cs="仿宋"/>
          <w:i w:val="0"/>
          <w:iCs w:val="0"/>
          <w:caps w:val="0"/>
          <w:color w:val="000000"/>
          <w:spacing w:val="15"/>
          <w:sz w:val="31"/>
          <w:szCs w:val="31"/>
          <w:bdr w:val="none" w:color="auto" w:sz="0" w:space="0"/>
          <w:shd w:val="clear" w:fill="FFFFFF"/>
        </w:rPr>
        <w:t>产权转让、企业增资导致国有企业失去标的企业实际控制权的，交易完成后标的企业不得继续使用原国有企业的字号、经营资质和特许经营权等无形资产，不得继续以原国有企业名义开展经营活动。</w:t>
      </w:r>
    </w:p>
    <w:p w14:paraId="37AF42C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firstLine="692" w:firstLineChars="200"/>
        <w:jc w:val="both"/>
        <w:rPr>
          <w:rFonts w:hint="eastAsia" w:ascii="Microsoft YaHei UI" w:hAnsi="Microsoft YaHei UI" w:eastAsia="Microsoft YaHei UI" w:cs="Microsoft YaHei UI"/>
          <w:i w:val="0"/>
          <w:iCs w:val="0"/>
          <w:caps w:val="0"/>
          <w:spacing w:val="8"/>
          <w:sz w:val="25"/>
          <w:szCs w:val="25"/>
        </w:rPr>
      </w:pPr>
      <w:r>
        <w:rPr>
          <w:rStyle w:val="5"/>
          <w:rFonts w:hint="eastAsia" w:ascii="仿宋" w:hAnsi="仿宋" w:eastAsia="仿宋" w:cs="仿宋"/>
          <w:i w:val="0"/>
          <w:iCs w:val="0"/>
          <w:caps w:val="0"/>
          <w:color w:val="000000"/>
          <w:spacing w:val="15"/>
          <w:sz w:val="31"/>
          <w:szCs w:val="31"/>
          <w:bdr w:val="none" w:color="auto" w:sz="0" w:space="0"/>
          <w:shd w:val="clear" w:fill="FFFFFF"/>
        </w:rPr>
        <w:t>第二十二条</w:t>
      </w:r>
      <w:r>
        <w:rPr>
          <w:rFonts w:hint="eastAsia" w:ascii="仿宋" w:hAnsi="仿宋" w:eastAsia="仿宋" w:cs="仿宋"/>
          <w:i w:val="0"/>
          <w:iCs w:val="0"/>
          <w:caps w:val="0"/>
          <w:color w:val="000000"/>
          <w:spacing w:val="15"/>
          <w:sz w:val="31"/>
          <w:szCs w:val="31"/>
          <w:bdr w:val="none" w:color="auto" w:sz="0" w:space="0"/>
          <w:shd w:val="clear" w:fill="FFFFFF"/>
        </w:rPr>
        <w:t> 国有企业及其各级子企业领导人员在参股企业兼职，应当根据工作需要从严掌握，一般不跨级兼职，不兼“挂名”职务。确需兼职的，按照管理权限审批，且不得在兼职企业领取工资、奖金、津贴等任何形式的报酬，不得获取股权和其他额外利益；任期届满需要连任的，应当重新履行相关程序。</w:t>
      </w:r>
    </w:p>
    <w:p w14:paraId="10B8202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firstLine="690" w:firstLineChars="200"/>
        <w:jc w:val="both"/>
        <w:rPr>
          <w:rFonts w:hint="eastAsia" w:ascii="Microsoft YaHei UI" w:hAnsi="Microsoft YaHei UI" w:eastAsia="Microsoft YaHei UI" w:cs="Microsoft YaHei UI"/>
          <w:i w:val="0"/>
          <w:iCs w:val="0"/>
          <w:caps w:val="0"/>
          <w:spacing w:val="8"/>
          <w:sz w:val="25"/>
          <w:szCs w:val="25"/>
        </w:rPr>
      </w:pPr>
      <w:r>
        <w:rPr>
          <w:rFonts w:hint="eastAsia" w:ascii="仿宋" w:hAnsi="仿宋" w:eastAsia="仿宋" w:cs="仿宋"/>
          <w:i w:val="0"/>
          <w:iCs w:val="0"/>
          <w:caps w:val="0"/>
          <w:color w:val="000000"/>
          <w:spacing w:val="15"/>
          <w:sz w:val="31"/>
          <w:szCs w:val="31"/>
          <w:bdr w:val="none" w:color="auto" w:sz="0" w:space="0"/>
          <w:shd w:val="clear" w:fill="FFFFFF"/>
        </w:rPr>
        <w:t>参股投资主体及其各级控股股东领导人员亲属在参股企业关键岗位任职，应当参照企业领导人员任职回避有关规定执行。</w:t>
      </w:r>
    </w:p>
    <w:p w14:paraId="66CB65E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firstLine="692" w:firstLineChars="200"/>
        <w:jc w:val="both"/>
        <w:rPr>
          <w:rFonts w:hint="eastAsia" w:ascii="Microsoft YaHei UI" w:hAnsi="Microsoft YaHei UI" w:eastAsia="Microsoft YaHei UI" w:cs="Microsoft YaHei UI"/>
          <w:i w:val="0"/>
          <w:iCs w:val="0"/>
          <w:caps w:val="0"/>
          <w:spacing w:val="8"/>
          <w:sz w:val="25"/>
          <w:szCs w:val="25"/>
        </w:rPr>
      </w:pPr>
      <w:r>
        <w:rPr>
          <w:rStyle w:val="5"/>
          <w:rFonts w:hint="eastAsia" w:ascii="仿宋" w:hAnsi="仿宋" w:eastAsia="仿宋" w:cs="仿宋"/>
          <w:i w:val="0"/>
          <w:iCs w:val="0"/>
          <w:caps w:val="0"/>
          <w:color w:val="000000"/>
          <w:spacing w:val="15"/>
          <w:sz w:val="31"/>
          <w:szCs w:val="31"/>
          <w:bdr w:val="none" w:color="auto" w:sz="0" w:space="0"/>
          <w:shd w:val="clear" w:fill="FFFFFF"/>
        </w:rPr>
        <w:t>第二十三条</w:t>
      </w:r>
      <w:r>
        <w:rPr>
          <w:rFonts w:hint="eastAsia" w:ascii="仿宋" w:hAnsi="仿宋" w:eastAsia="仿宋" w:cs="仿宋"/>
          <w:i w:val="0"/>
          <w:iCs w:val="0"/>
          <w:caps w:val="0"/>
          <w:color w:val="000000"/>
          <w:spacing w:val="15"/>
          <w:sz w:val="31"/>
          <w:szCs w:val="31"/>
          <w:bdr w:val="none" w:color="auto" w:sz="0" w:space="0"/>
          <w:shd w:val="clear" w:fill="FFFFFF"/>
        </w:rPr>
        <w:t> 国有企业持股比例合计50%以上的参股企业，党建工作原则上由持股比例最大的国有股东或国有资产监督管理机构领导和指导为主，按照有关规定落实管党治党责任。</w:t>
      </w:r>
    </w:p>
    <w:p w14:paraId="69BD7EE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firstLine="690" w:firstLineChars="200"/>
        <w:jc w:val="both"/>
        <w:rPr>
          <w:rFonts w:hint="eastAsia" w:ascii="Microsoft YaHei UI" w:hAnsi="Microsoft YaHei UI" w:eastAsia="Microsoft YaHei UI" w:cs="Microsoft YaHei UI"/>
          <w:i w:val="0"/>
          <w:iCs w:val="0"/>
          <w:caps w:val="0"/>
          <w:spacing w:val="8"/>
          <w:sz w:val="25"/>
          <w:szCs w:val="25"/>
        </w:rPr>
      </w:pPr>
      <w:r>
        <w:rPr>
          <w:rFonts w:hint="eastAsia" w:ascii="仿宋" w:hAnsi="仿宋" w:eastAsia="仿宋" w:cs="仿宋"/>
          <w:i w:val="0"/>
          <w:iCs w:val="0"/>
          <w:caps w:val="0"/>
          <w:color w:val="000000"/>
          <w:spacing w:val="15"/>
          <w:sz w:val="31"/>
          <w:szCs w:val="31"/>
          <w:bdr w:val="none" w:color="auto" w:sz="0" w:space="0"/>
          <w:shd w:val="clear" w:fill="FFFFFF"/>
        </w:rPr>
        <w:t>其他国有参股企业，国有股东应当加强对企业党建工作的领导和指导，推动党的组织和工作有效覆盖，充分发挥党组织和党员作用，确保党的领导和党的建设在参股企业得到充分体现，维护国有资产权益和社会公共利益，严防国有资产流失。</w:t>
      </w:r>
    </w:p>
    <w:p w14:paraId="7152655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firstLine="690" w:firstLineChars="200"/>
        <w:jc w:val="both"/>
        <w:rPr>
          <w:rFonts w:hint="eastAsia" w:ascii="Microsoft YaHei UI" w:hAnsi="Microsoft YaHei UI" w:eastAsia="Microsoft YaHei UI" w:cs="Microsoft YaHei UI"/>
          <w:i w:val="0"/>
          <w:iCs w:val="0"/>
          <w:caps w:val="0"/>
          <w:spacing w:val="8"/>
          <w:sz w:val="25"/>
          <w:szCs w:val="25"/>
        </w:rPr>
      </w:pPr>
      <w:r>
        <w:rPr>
          <w:rFonts w:hint="eastAsia" w:ascii="仿宋" w:hAnsi="仿宋" w:eastAsia="仿宋" w:cs="仿宋"/>
          <w:i w:val="0"/>
          <w:iCs w:val="0"/>
          <w:caps w:val="0"/>
          <w:color w:val="000000"/>
          <w:spacing w:val="15"/>
          <w:sz w:val="31"/>
          <w:szCs w:val="31"/>
          <w:bdr w:val="none" w:color="auto" w:sz="0" w:space="0"/>
          <w:shd w:val="clear" w:fill="FFFFFF"/>
        </w:rPr>
        <w:t>国有参股企业党组织关系、党建工作领导和指导责任归属国有资产监督管理机构或国有企业的，原则上应当保持稳定。</w:t>
      </w:r>
    </w:p>
    <w:p w14:paraId="580AA8A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firstLine="692" w:firstLineChars="200"/>
        <w:jc w:val="center"/>
        <w:rPr>
          <w:rFonts w:hint="eastAsia" w:ascii="Microsoft YaHei UI" w:hAnsi="Microsoft YaHei UI" w:eastAsia="Microsoft YaHei UI" w:cs="Microsoft YaHei UI"/>
          <w:i w:val="0"/>
          <w:iCs w:val="0"/>
          <w:caps w:val="0"/>
          <w:spacing w:val="8"/>
          <w:sz w:val="25"/>
          <w:szCs w:val="25"/>
        </w:rPr>
      </w:pPr>
      <w:r>
        <w:rPr>
          <w:rStyle w:val="5"/>
          <w:rFonts w:hint="eastAsia" w:ascii="仿宋" w:hAnsi="仿宋" w:eastAsia="仿宋" w:cs="仿宋"/>
          <w:i w:val="0"/>
          <w:iCs w:val="0"/>
          <w:caps w:val="0"/>
          <w:color w:val="000000"/>
          <w:spacing w:val="15"/>
          <w:sz w:val="31"/>
          <w:szCs w:val="31"/>
          <w:bdr w:val="none" w:color="auto" w:sz="0" w:space="0"/>
          <w:shd w:val="clear" w:fill="FFFFFF"/>
        </w:rPr>
        <w:t>第四章 参股股权退出管理</w:t>
      </w:r>
    </w:p>
    <w:p w14:paraId="3030040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firstLine="692" w:firstLineChars="200"/>
        <w:jc w:val="both"/>
        <w:rPr>
          <w:rFonts w:hint="eastAsia" w:ascii="Microsoft YaHei UI" w:hAnsi="Microsoft YaHei UI" w:eastAsia="Microsoft YaHei UI" w:cs="Microsoft YaHei UI"/>
          <w:i w:val="0"/>
          <w:iCs w:val="0"/>
          <w:caps w:val="0"/>
          <w:spacing w:val="8"/>
          <w:sz w:val="25"/>
          <w:szCs w:val="25"/>
        </w:rPr>
      </w:pPr>
      <w:r>
        <w:rPr>
          <w:rStyle w:val="5"/>
          <w:rFonts w:hint="eastAsia" w:ascii="仿宋" w:hAnsi="仿宋" w:eastAsia="仿宋" w:cs="仿宋"/>
          <w:i w:val="0"/>
          <w:iCs w:val="0"/>
          <w:caps w:val="0"/>
          <w:color w:val="000000"/>
          <w:spacing w:val="15"/>
          <w:sz w:val="31"/>
          <w:szCs w:val="31"/>
          <w:bdr w:val="none" w:color="auto" w:sz="0" w:space="0"/>
          <w:shd w:val="clear" w:fill="FFFFFF"/>
        </w:rPr>
        <w:t>第二十四条</w:t>
      </w:r>
      <w:r>
        <w:rPr>
          <w:rFonts w:hint="eastAsia" w:ascii="仿宋" w:hAnsi="仿宋" w:eastAsia="仿宋" w:cs="仿宋"/>
          <w:i w:val="0"/>
          <w:iCs w:val="0"/>
          <w:caps w:val="0"/>
          <w:color w:val="000000"/>
          <w:spacing w:val="15"/>
          <w:sz w:val="31"/>
          <w:szCs w:val="31"/>
          <w:bdr w:val="none" w:color="auto" w:sz="0" w:space="0"/>
          <w:shd w:val="clear" w:fill="FFFFFF"/>
        </w:rPr>
        <w:t> 除战略性持有或培育期的参股股权外，国有企业应当退出5年以上未分红、长期亏损、非持续经营的低效无效参股股权，退出与国有企业职责定位严重不符且不具备竞争优势、风险较大、经营情况难以掌握的参股投资。</w:t>
      </w:r>
    </w:p>
    <w:p w14:paraId="1F48125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firstLine="692" w:firstLineChars="200"/>
        <w:jc w:val="both"/>
        <w:rPr>
          <w:rFonts w:hint="eastAsia" w:ascii="Microsoft YaHei UI" w:hAnsi="Microsoft YaHei UI" w:eastAsia="Microsoft YaHei UI" w:cs="Microsoft YaHei UI"/>
          <w:i w:val="0"/>
          <w:iCs w:val="0"/>
          <w:caps w:val="0"/>
          <w:spacing w:val="8"/>
          <w:sz w:val="25"/>
          <w:szCs w:val="25"/>
        </w:rPr>
      </w:pPr>
      <w:r>
        <w:rPr>
          <w:rStyle w:val="5"/>
          <w:rFonts w:hint="eastAsia" w:ascii="仿宋" w:hAnsi="仿宋" w:eastAsia="仿宋" w:cs="仿宋"/>
          <w:i w:val="0"/>
          <w:iCs w:val="0"/>
          <w:caps w:val="0"/>
          <w:color w:val="000000"/>
          <w:spacing w:val="15"/>
          <w:sz w:val="31"/>
          <w:szCs w:val="31"/>
          <w:bdr w:val="none" w:color="auto" w:sz="0" w:space="0"/>
          <w:shd w:val="clear" w:fill="FFFFFF"/>
        </w:rPr>
        <w:t>第二十五条</w:t>
      </w:r>
      <w:r>
        <w:rPr>
          <w:rFonts w:hint="eastAsia" w:ascii="仿宋" w:hAnsi="仿宋" w:eastAsia="仿宋" w:cs="仿宋"/>
          <w:i w:val="0"/>
          <w:iCs w:val="0"/>
          <w:caps w:val="0"/>
          <w:color w:val="000000"/>
          <w:spacing w:val="15"/>
          <w:sz w:val="31"/>
          <w:szCs w:val="31"/>
          <w:bdr w:val="none" w:color="auto" w:sz="0" w:space="0"/>
          <w:shd w:val="clear" w:fill="FFFFFF"/>
        </w:rPr>
        <w:t> 加强研究论证，创新方式方法，合理选择股权转让、股权置换、清算注销等方式，清理退出低效无效参股股权。</w:t>
      </w:r>
    </w:p>
    <w:p w14:paraId="2437CA4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firstLine="690" w:firstLineChars="200"/>
        <w:jc w:val="both"/>
        <w:rPr>
          <w:rFonts w:hint="eastAsia" w:ascii="Microsoft YaHei UI" w:hAnsi="Microsoft YaHei UI" w:eastAsia="Microsoft YaHei UI" w:cs="Microsoft YaHei UI"/>
          <w:i w:val="0"/>
          <w:iCs w:val="0"/>
          <w:caps w:val="0"/>
          <w:spacing w:val="8"/>
          <w:sz w:val="25"/>
          <w:szCs w:val="25"/>
        </w:rPr>
      </w:pPr>
      <w:r>
        <w:rPr>
          <w:rFonts w:hint="eastAsia" w:ascii="仿宋" w:hAnsi="仿宋" w:eastAsia="仿宋" w:cs="仿宋"/>
          <w:i w:val="0"/>
          <w:iCs w:val="0"/>
          <w:caps w:val="0"/>
          <w:color w:val="000000"/>
          <w:spacing w:val="15"/>
          <w:sz w:val="31"/>
          <w:szCs w:val="31"/>
          <w:bdr w:val="none" w:color="auto" w:sz="0" w:space="0"/>
          <w:shd w:val="clear" w:fill="FFFFFF"/>
        </w:rPr>
        <w:t>充分发挥国有资本投资、运营公司作用，积极探索委托管理、集中打包、重组整合等措施，集中处置低效无效参股股权，提高处置效率，加快资产盘活。</w:t>
      </w:r>
    </w:p>
    <w:p w14:paraId="5CCBAFB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firstLine="692" w:firstLineChars="200"/>
        <w:jc w:val="both"/>
        <w:rPr>
          <w:rFonts w:hint="eastAsia" w:ascii="Microsoft YaHei UI" w:hAnsi="Microsoft YaHei UI" w:eastAsia="Microsoft YaHei UI" w:cs="Microsoft YaHei UI"/>
          <w:i w:val="0"/>
          <w:iCs w:val="0"/>
          <w:caps w:val="0"/>
          <w:spacing w:val="8"/>
          <w:sz w:val="25"/>
          <w:szCs w:val="25"/>
        </w:rPr>
      </w:pPr>
      <w:r>
        <w:rPr>
          <w:rStyle w:val="5"/>
          <w:rFonts w:hint="eastAsia" w:ascii="仿宋" w:hAnsi="仿宋" w:eastAsia="仿宋" w:cs="仿宋"/>
          <w:i w:val="0"/>
          <w:iCs w:val="0"/>
          <w:caps w:val="0"/>
          <w:color w:val="000000"/>
          <w:spacing w:val="15"/>
          <w:sz w:val="31"/>
          <w:szCs w:val="31"/>
          <w:bdr w:val="none" w:color="auto" w:sz="0" w:space="0"/>
          <w:shd w:val="clear" w:fill="FFFFFF"/>
        </w:rPr>
        <w:t>第二十六条</w:t>
      </w:r>
      <w:r>
        <w:rPr>
          <w:rFonts w:hint="eastAsia" w:ascii="仿宋" w:hAnsi="仿宋" w:eastAsia="仿宋" w:cs="仿宋"/>
          <w:i w:val="0"/>
          <w:iCs w:val="0"/>
          <w:caps w:val="0"/>
          <w:color w:val="000000"/>
          <w:spacing w:val="15"/>
          <w:sz w:val="31"/>
          <w:szCs w:val="31"/>
          <w:bdr w:val="none" w:color="auto" w:sz="0" w:space="0"/>
          <w:shd w:val="clear" w:fill="FFFFFF"/>
        </w:rPr>
        <w:t> 退出参股股权应当严格执行国有资产监督管理有关规定，依法合规履行财务审计、资产评估和产权交易等程序，及时办理工商变更登记。</w:t>
      </w:r>
    </w:p>
    <w:p w14:paraId="5918D4A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firstLine="692" w:firstLineChars="200"/>
        <w:jc w:val="center"/>
        <w:rPr>
          <w:rFonts w:hint="eastAsia" w:ascii="Microsoft YaHei UI" w:hAnsi="Microsoft YaHei UI" w:eastAsia="Microsoft YaHei UI" w:cs="Microsoft YaHei UI"/>
          <w:i w:val="0"/>
          <w:iCs w:val="0"/>
          <w:caps w:val="0"/>
          <w:spacing w:val="8"/>
          <w:sz w:val="25"/>
          <w:szCs w:val="25"/>
        </w:rPr>
      </w:pPr>
      <w:r>
        <w:rPr>
          <w:rStyle w:val="5"/>
          <w:rFonts w:hint="eastAsia" w:ascii="仿宋" w:hAnsi="仿宋" w:eastAsia="仿宋" w:cs="仿宋"/>
          <w:i w:val="0"/>
          <w:iCs w:val="0"/>
          <w:caps w:val="0"/>
          <w:color w:val="000000"/>
          <w:spacing w:val="15"/>
          <w:sz w:val="31"/>
          <w:szCs w:val="31"/>
          <w:bdr w:val="none" w:color="auto" w:sz="0" w:space="0"/>
          <w:shd w:val="clear" w:fill="FFFFFF"/>
        </w:rPr>
        <w:t>第五章 监督问责</w:t>
      </w:r>
    </w:p>
    <w:p w14:paraId="78C6FFB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firstLine="692" w:firstLineChars="200"/>
        <w:jc w:val="both"/>
        <w:rPr>
          <w:rFonts w:hint="eastAsia" w:ascii="Microsoft YaHei UI" w:hAnsi="Microsoft YaHei UI" w:eastAsia="Microsoft YaHei UI" w:cs="Microsoft YaHei UI"/>
          <w:i w:val="0"/>
          <w:iCs w:val="0"/>
          <w:caps w:val="0"/>
          <w:spacing w:val="8"/>
          <w:sz w:val="25"/>
          <w:szCs w:val="25"/>
        </w:rPr>
      </w:pPr>
      <w:r>
        <w:rPr>
          <w:rStyle w:val="5"/>
          <w:rFonts w:hint="eastAsia" w:ascii="仿宋" w:hAnsi="仿宋" w:eastAsia="仿宋" w:cs="仿宋"/>
          <w:i w:val="0"/>
          <w:iCs w:val="0"/>
          <w:caps w:val="0"/>
          <w:color w:val="000000"/>
          <w:spacing w:val="15"/>
          <w:sz w:val="31"/>
          <w:szCs w:val="31"/>
          <w:bdr w:val="none" w:color="auto" w:sz="0" w:space="0"/>
          <w:shd w:val="clear" w:fill="FFFFFF"/>
        </w:rPr>
        <w:t>第二十七条</w:t>
      </w:r>
      <w:r>
        <w:rPr>
          <w:rFonts w:hint="eastAsia" w:ascii="仿宋" w:hAnsi="仿宋" w:eastAsia="仿宋" w:cs="仿宋"/>
          <w:i w:val="0"/>
          <w:iCs w:val="0"/>
          <w:caps w:val="0"/>
          <w:color w:val="000000"/>
          <w:spacing w:val="15"/>
          <w:sz w:val="31"/>
          <w:szCs w:val="31"/>
          <w:bdr w:val="none" w:color="auto" w:sz="0" w:space="0"/>
          <w:shd w:val="clear" w:fill="FFFFFF"/>
        </w:rPr>
        <w:t> 国有企业应当将参股经营投资作为内部管控的重要内容，建立健全以风险管理为导向、合规管理监督为重点的内控体系。</w:t>
      </w:r>
    </w:p>
    <w:p w14:paraId="1E3341A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firstLine="690" w:firstLineChars="200"/>
        <w:jc w:val="both"/>
        <w:rPr>
          <w:rFonts w:hint="eastAsia" w:ascii="Microsoft YaHei UI" w:hAnsi="Microsoft YaHei UI" w:eastAsia="Microsoft YaHei UI" w:cs="Microsoft YaHei UI"/>
          <w:i w:val="0"/>
          <w:iCs w:val="0"/>
          <w:caps w:val="0"/>
          <w:spacing w:val="8"/>
          <w:sz w:val="25"/>
          <w:szCs w:val="25"/>
        </w:rPr>
      </w:pPr>
      <w:r>
        <w:rPr>
          <w:rFonts w:hint="eastAsia" w:ascii="仿宋" w:hAnsi="仿宋" w:eastAsia="仿宋" w:cs="仿宋"/>
          <w:i w:val="0"/>
          <w:iCs w:val="0"/>
          <w:caps w:val="0"/>
          <w:color w:val="000000"/>
          <w:spacing w:val="15"/>
          <w:sz w:val="31"/>
          <w:szCs w:val="31"/>
          <w:bdr w:val="none" w:color="auto" w:sz="0" w:space="0"/>
          <w:shd w:val="clear" w:fill="FFFFFF"/>
        </w:rPr>
        <w:t>规范开展参股经营投资的审计监督，重点关注参股企业财务信息和经营情况，对各级企业负责人开展任期经济责任审计时，应当将参股投资、与参股企业关联交易等有关事项列入重点审计内容。</w:t>
      </w:r>
    </w:p>
    <w:p w14:paraId="4EB4287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firstLine="692" w:firstLineChars="200"/>
        <w:jc w:val="both"/>
        <w:rPr>
          <w:rFonts w:hint="eastAsia" w:ascii="Microsoft YaHei UI" w:hAnsi="Microsoft YaHei UI" w:eastAsia="Microsoft YaHei UI" w:cs="Microsoft YaHei UI"/>
          <w:i w:val="0"/>
          <w:iCs w:val="0"/>
          <w:caps w:val="0"/>
          <w:spacing w:val="8"/>
          <w:sz w:val="25"/>
          <w:szCs w:val="25"/>
        </w:rPr>
      </w:pPr>
      <w:r>
        <w:rPr>
          <w:rStyle w:val="5"/>
          <w:rFonts w:hint="eastAsia" w:ascii="仿宋" w:hAnsi="仿宋" w:eastAsia="仿宋" w:cs="仿宋"/>
          <w:i w:val="0"/>
          <w:iCs w:val="0"/>
          <w:caps w:val="0"/>
          <w:color w:val="000000"/>
          <w:spacing w:val="15"/>
          <w:sz w:val="31"/>
          <w:szCs w:val="31"/>
          <w:bdr w:val="none" w:color="auto" w:sz="0" w:space="0"/>
          <w:shd w:val="clear" w:fill="FFFFFF"/>
        </w:rPr>
        <w:t>第二十八条</w:t>
      </w:r>
      <w:r>
        <w:rPr>
          <w:rFonts w:hint="eastAsia" w:ascii="仿宋" w:hAnsi="仿宋" w:eastAsia="仿宋" w:cs="仿宋"/>
          <w:i w:val="0"/>
          <w:iCs w:val="0"/>
          <w:caps w:val="0"/>
          <w:color w:val="000000"/>
          <w:spacing w:val="15"/>
          <w:sz w:val="31"/>
          <w:szCs w:val="31"/>
          <w:bdr w:val="none" w:color="auto" w:sz="0" w:space="0"/>
          <w:shd w:val="clear" w:fill="FFFFFF"/>
        </w:rPr>
        <w:t> 国有资产监督管理机构应当建立健全参股监督管理工作机制，明确相关部门职责，加强协同联动，有效落实监管责任。</w:t>
      </w:r>
    </w:p>
    <w:p w14:paraId="77BF079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firstLine="690" w:firstLineChars="200"/>
        <w:jc w:val="both"/>
        <w:rPr>
          <w:rFonts w:hint="eastAsia" w:ascii="Microsoft YaHei UI" w:hAnsi="Microsoft YaHei UI" w:eastAsia="Microsoft YaHei UI" w:cs="Microsoft YaHei UI"/>
          <w:i w:val="0"/>
          <w:iCs w:val="0"/>
          <w:caps w:val="0"/>
          <w:spacing w:val="8"/>
          <w:sz w:val="25"/>
          <w:szCs w:val="25"/>
        </w:rPr>
      </w:pPr>
      <w:r>
        <w:rPr>
          <w:rFonts w:hint="eastAsia" w:ascii="仿宋" w:hAnsi="仿宋" w:eastAsia="仿宋" w:cs="仿宋"/>
          <w:i w:val="0"/>
          <w:iCs w:val="0"/>
          <w:caps w:val="0"/>
          <w:color w:val="000000"/>
          <w:spacing w:val="15"/>
          <w:sz w:val="31"/>
          <w:szCs w:val="31"/>
          <w:bdr w:val="none" w:color="auto" w:sz="0" w:space="0"/>
          <w:shd w:val="clear" w:fill="FFFFFF"/>
        </w:rPr>
        <w:t>鼓励具备条件的国有资产监督管理机构建立健全在线监管平台，对国有企业参股经营投资进行实时在线监管。</w:t>
      </w:r>
    </w:p>
    <w:p w14:paraId="7097E28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firstLine="692" w:firstLineChars="200"/>
        <w:jc w:val="both"/>
        <w:rPr>
          <w:rFonts w:hint="eastAsia" w:ascii="Microsoft YaHei UI" w:hAnsi="Microsoft YaHei UI" w:eastAsia="Microsoft YaHei UI" w:cs="Microsoft YaHei UI"/>
          <w:i w:val="0"/>
          <w:iCs w:val="0"/>
          <w:caps w:val="0"/>
          <w:spacing w:val="8"/>
          <w:sz w:val="25"/>
          <w:szCs w:val="25"/>
        </w:rPr>
      </w:pPr>
      <w:r>
        <w:rPr>
          <w:rStyle w:val="5"/>
          <w:rFonts w:hint="eastAsia" w:ascii="仿宋" w:hAnsi="仿宋" w:eastAsia="仿宋" w:cs="仿宋"/>
          <w:i w:val="0"/>
          <w:iCs w:val="0"/>
          <w:caps w:val="0"/>
          <w:color w:val="000000"/>
          <w:spacing w:val="15"/>
          <w:sz w:val="31"/>
          <w:szCs w:val="31"/>
          <w:bdr w:val="none" w:color="auto" w:sz="0" w:space="0"/>
          <w:shd w:val="clear" w:fill="FFFFFF"/>
        </w:rPr>
        <w:t>第二十九条</w:t>
      </w:r>
      <w:r>
        <w:rPr>
          <w:rFonts w:hint="eastAsia" w:ascii="仿宋" w:hAnsi="仿宋" w:eastAsia="仿宋" w:cs="仿宋"/>
          <w:i w:val="0"/>
          <w:iCs w:val="0"/>
          <w:caps w:val="0"/>
          <w:color w:val="000000"/>
          <w:spacing w:val="15"/>
          <w:sz w:val="31"/>
          <w:szCs w:val="31"/>
          <w:bdr w:val="none" w:color="auto" w:sz="0" w:space="0"/>
          <w:shd w:val="clear" w:fill="FFFFFF"/>
        </w:rPr>
        <w:t> 国有企业参股经营投资中违反规定，造成国有资产损失或者其他严重不良后果的，应当按照有关规定对相关责任人给予严肃处理，并实行重大决策终身问责；涉嫌违纪违法的，移送有关纪检监察机关或司法机关严肃查处。</w:t>
      </w:r>
    </w:p>
    <w:p w14:paraId="1911E54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firstLine="692" w:firstLineChars="200"/>
        <w:jc w:val="center"/>
        <w:rPr>
          <w:rFonts w:hint="eastAsia" w:ascii="Microsoft YaHei UI" w:hAnsi="Microsoft YaHei UI" w:eastAsia="Microsoft YaHei UI" w:cs="Microsoft YaHei UI"/>
          <w:i w:val="0"/>
          <w:iCs w:val="0"/>
          <w:caps w:val="0"/>
          <w:spacing w:val="8"/>
          <w:sz w:val="25"/>
          <w:szCs w:val="25"/>
        </w:rPr>
      </w:pPr>
      <w:r>
        <w:rPr>
          <w:rStyle w:val="5"/>
          <w:rFonts w:hint="eastAsia" w:ascii="仿宋" w:hAnsi="仿宋" w:eastAsia="仿宋" w:cs="仿宋"/>
          <w:i w:val="0"/>
          <w:iCs w:val="0"/>
          <w:caps w:val="0"/>
          <w:color w:val="000000"/>
          <w:spacing w:val="15"/>
          <w:sz w:val="31"/>
          <w:szCs w:val="31"/>
          <w:bdr w:val="none" w:color="auto" w:sz="0" w:space="0"/>
          <w:shd w:val="clear" w:fill="FFFFFF"/>
        </w:rPr>
        <w:t>第六章 附 则</w:t>
      </w:r>
    </w:p>
    <w:p w14:paraId="65A074D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firstLine="692" w:firstLineChars="200"/>
        <w:jc w:val="both"/>
        <w:rPr>
          <w:rFonts w:hint="eastAsia" w:ascii="Microsoft YaHei UI" w:hAnsi="Microsoft YaHei UI" w:eastAsia="Microsoft YaHei UI" w:cs="Microsoft YaHei UI"/>
          <w:i w:val="0"/>
          <w:iCs w:val="0"/>
          <w:caps w:val="0"/>
          <w:spacing w:val="8"/>
          <w:sz w:val="25"/>
          <w:szCs w:val="25"/>
        </w:rPr>
      </w:pPr>
      <w:r>
        <w:rPr>
          <w:rStyle w:val="5"/>
          <w:rFonts w:hint="eastAsia" w:ascii="仿宋" w:hAnsi="仿宋" w:eastAsia="仿宋" w:cs="仿宋"/>
          <w:i w:val="0"/>
          <w:iCs w:val="0"/>
          <w:caps w:val="0"/>
          <w:color w:val="000000"/>
          <w:spacing w:val="15"/>
          <w:sz w:val="31"/>
          <w:szCs w:val="31"/>
          <w:bdr w:val="none" w:color="auto" w:sz="0" w:space="0"/>
          <w:shd w:val="clear" w:fill="FFFFFF"/>
        </w:rPr>
        <w:t>第三十条</w:t>
      </w:r>
      <w:r>
        <w:rPr>
          <w:rFonts w:hint="eastAsia" w:ascii="仿宋" w:hAnsi="仿宋" w:eastAsia="仿宋" w:cs="仿宋"/>
          <w:i w:val="0"/>
          <w:iCs w:val="0"/>
          <w:caps w:val="0"/>
          <w:color w:val="000000"/>
          <w:spacing w:val="15"/>
          <w:sz w:val="31"/>
          <w:szCs w:val="31"/>
          <w:bdr w:val="none" w:color="auto" w:sz="0" w:space="0"/>
          <w:shd w:val="clear" w:fill="FFFFFF"/>
        </w:rPr>
        <w:t> 国有企业基金业务参股管理，另有规定的依其规定执行。</w:t>
      </w:r>
    </w:p>
    <w:p w14:paraId="7D254D0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firstLine="692" w:firstLineChars="200"/>
        <w:jc w:val="both"/>
        <w:rPr>
          <w:rFonts w:hint="eastAsia" w:ascii="Microsoft YaHei UI" w:hAnsi="Microsoft YaHei UI" w:eastAsia="Microsoft YaHei UI" w:cs="Microsoft YaHei UI"/>
          <w:i w:val="0"/>
          <w:iCs w:val="0"/>
          <w:caps w:val="0"/>
          <w:spacing w:val="8"/>
          <w:sz w:val="25"/>
          <w:szCs w:val="25"/>
        </w:rPr>
      </w:pPr>
      <w:r>
        <w:rPr>
          <w:rStyle w:val="5"/>
          <w:rFonts w:hint="eastAsia" w:ascii="仿宋" w:hAnsi="仿宋" w:eastAsia="仿宋" w:cs="仿宋"/>
          <w:i w:val="0"/>
          <w:iCs w:val="0"/>
          <w:caps w:val="0"/>
          <w:color w:val="000000"/>
          <w:spacing w:val="15"/>
          <w:sz w:val="31"/>
          <w:szCs w:val="31"/>
          <w:bdr w:val="none" w:color="auto" w:sz="0" w:space="0"/>
          <w:shd w:val="clear" w:fill="FFFFFF"/>
        </w:rPr>
        <w:t>第三十一条</w:t>
      </w:r>
      <w:r>
        <w:rPr>
          <w:rFonts w:hint="eastAsia" w:ascii="仿宋" w:hAnsi="仿宋" w:eastAsia="仿宋" w:cs="仿宋"/>
          <w:i w:val="0"/>
          <w:iCs w:val="0"/>
          <w:caps w:val="0"/>
          <w:color w:val="000000"/>
          <w:spacing w:val="15"/>
          <w:sz w:val="31"/>
          <w:szCs w:val="31"/>
          <w:bdr w:val="none" w:color="auto" w:sz="0" w:space="0"/>
          <w:shd w:val="clear" w:fill="FFFFFF"/>
        </w:rPr>
        <w:t> 以交易为目的且按照金融工具确认的股权投资不适用本办法。</w:t>
      </w:r>
    </w:p>
    <w:p w14:paraId="1578CDE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firstLine="692" w:firstLineChars="200"/>
        <w:jc w:val="both"/>
        <w:rPr>
          <w:rFonts w:hint="eastAsia" w:ascii="Microsoft YaHei UI" w:hAnsi="Microsoft YaHei UI" w:eastAsia="Microsoft YaHei UI" w:cs="Microsoft YaHei UI"/>
          <w:i w:val="0"/>
          <w:iCs w:val="0"/>
          <w:caps w:val="0"/>
          <w:spacing w:val="8"/>
          <w:sz w:val="25"/>
          <w:szCs w:val="25"/>
        </w:rPr>
      </w:pPr>
      <w:r>
        <w:rPr>
          <w:rStyle w:val="5"/>
          <w:rFonts w:hint="eastAsia" w:ascii="仿宋" w:hAnsi="仿宋" w:eastAsia="仿宋" w:cs="仿宋"/>
          <w:i w:val="0"/>
          <w:iCs w:val="0"/>
          <w:caps w:val="0"/>
          <w:color w:val="000000"/>
          <w:spacing w:val="15"/>
          <w:sz w:val="31"/>
          <w:szCs w:val="31"/>
          <w:bdr w:val="none" w:color="auto" w:sz="0" w:space="0"/>
          <w:shd w:val="clear" w:fill="FFFFFF"/>
        </w:rPr>
        <w:t>第三十二条</w:t>
      </w:r>
      <w:r>
        <w:rPr>
          <w:rFonts w:hint="eastAsia" w:ascii="仿宋" w:hAnsi="仿宋" w:eastAsia="仿宋" w:cs="仿宋"/>
          <w:i w:val="0"/>
          <w:iCs w:val="0"/>
          <w:caps w:val="0"/>
          <w:color w:val="000000"/>
          <w:spacing w:val="15"/>
          <w:sz w:val="31"/>
          <w:szCs w:val="31"/>
          <w:bdr w:val="none" w:color="auto" w:sz="0" w:space="0"/>
          <w:shd w:val="clear" w:fill="FFFFFF"/>
        </w:rPr>
        <w:t> 本办法中“不超过”“以上”包括本数。</w:t>
      </w:r>
    </w:p>
    <w:p w14:paraId="52112C6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firstLine="692" w:firstLineChars="200"/>
        <w:jc w:val="both"/>
        <w:rPr>
          <w:rFonts w:hint="eastAsia" w:ascii="Microsoft YaHei UI" w:hAnsi="Microsoft YaHei UI" w:eastAsia="Microsoft YaHei UI" w:cs="Microsoft YaHei UI"/>
          <w:i w:val="0"/>
          <w:iCs w:val="0"/>
          <w:caps w:val="0"/>
          <w:spacing w:val="8"/>
          <w:sz w:val="25"/>
          <w:szCs w:val="25"/>
        </w:rPr>
      </w:pPr>
      <w:r>
        <w:rPr>
          <w:rStyle w:val="5"/>
          <w:rFonts w:hint="eastAsia" w:ascii="仿宋" w:hAnsi="仿宋" w:eastAsia="仿宋" w:cs="仿宋"/>
          <w:i w:val="0"/>
          <w:iCs w:val="0"/>
          <w:caps w:val="0"/>
          <w:color w:val="000000"/>
          <w:spacing w:val="15"/>
          <w:sz w:val="31"/>
          <w:szCs w:val="31"/>
          <w:bdr w:val="none" w:color="auto" w:sz="0" w:space="0"/>
          <w:shd w:val="clear" w:fill="FFFFFF"/>
        </w:rPr>
        <w:t>第三十三条 </w:t>
      </w:r>
      <w:r>
        <w:rPr>
          <w:rFonts w:hint="eastAsia" w:ascii="仿宋" w:hAnsi="仿宋" w:eastAsia="仿宋" w:cs="仿宋"/>
          <w:i w:val="0"/>
          <w:iCs w:val="0"/>
          <w:caps w:val="0"/>
          <w:color w:val="000000"/>
          <w:spacing w:val="15"/>
          <w:sz w:val="31"/>
          <w:szCs w:val="31"/>
          <w:bdr w:val="none" w:color="auto" w:sz="0" w:space="0"/>
          <w:shd w:val="clear" w:fill="FFFFFF"/>
        </w:rPr>
        <w:t>本办法自公布之日起施行。《关于中央企业加强参股管理有关事项的通知》(国资发改革规〔2019〕126 号)同时废止。</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I3NzFjNzZhZTNhZGIyYWQzNGYwMzg5MThiYTM0ZDMifQ=="/>
  </w:docVars>
  <w:rsids>
    <w:rsidRoot w:val="07263B80"/>
    <w:rsid w:val="07263B80"/>
    <w:rsid w:val="65F055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4</TotalTime>
  <ScaleCrop>false</ScaleCrop>
  <LinksUpToDate>false</LinksUpToDate>
  <CharactersWithSpaces>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2024-11-11T13:04:00Z</dcterms:created>
  <dc:creator>F41382083650</dc:creator>
  <cp:lastModifiedBy>罗卫军</cp:lastModifiedBy>
  <dcterms:modified xsi:type="dcterms:W3CDTF">2024-11-11T13:09:32Z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23F3DEBBD0A04BE4BDE0034917A30AF8_11</vt:lpwstr>
  </property>
</Properties>
</file>